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E32F3" w14:textId="77777777" w:rsidR="006A6F88" w:rsidRPr="006A6F88" w:rsidRDefault="006A6F88" w:rsidP="006A6F88">
      <w:pPr>
        <w:spacing w:before="144" w:after="144" w:line="240" w:lineRule="auto"/>
        <w:jc w:val="both"/>
        <w:rPr>
          <w:rFonts w:ascii="Times New Roman" w:eastAsia="Times New Roman" w:hAnsi="Times New Roman" w:cs="Times New Roman"/>
          <w:sz w:val="20"/>
          <w:szCs w:val="20"/>
        </w:rPr>
      </w:pPr>
      <w:r w:rsidRPr="006A6F88">
        <w:rPr>
          <w:rFonts w:ascii="Times New Roman" w:eastAsia="Times New Roman" w:hAnsi="Times New Roman" w:cs="Times New Roman"/>
          <w:sz w:val="20"/>
          <w:szCs w:val="20"/>
        </w:rPr>
        <w:t>Załącznik do ustawy z dnia 20.05.2021 r. o ochronie praw nabywcy lokalu mieszkalnego lub domu jednorodzinnego oraz Deweloperskim Funduszu Gwarancyjnym Dz.</w:t>
      </w:r>
      <w:r w:rsidR="00F3569D">
        <w:rPr>
          <w:rFonts w:ascii="Times New Roman" w:eastAsia="Times New Roman" w:hAnsi="Times New Roman" w:cs="Times New Roman"/>
          <w:sz w:val="20"/>
          <w:szCs w:val="20"/>
        </w:rPr>
        <w:t xml:space="preserve"> </w:t>
      </w:r>
      <w:r w:rsidRPr="006A6F88">
        <w:rPr>
          <w:rFonts w:ascii="Times New Roman" w:eastAsia="Times New Roman" w:hAnsi="Times New Roman" w:cs="Times New Roman"/>
          <w:sz w:val="20"/>
          <w:szCs w:val="20"/>
        </w:rPr>
        <w:t xml:space="preserve">U. z 2024 roku, poz. 695 z </w:t>
      </w:r>
      <w:proofErr w:type="spellStart"/>
      <w:r w:rsidRPr="006A6F88">
        <w:rPr>
          <w:rFonts w:ascii="Times New Roman" w:eastAsia="Times New Roman" w:hAnsi="Times New Roman" w:cs="Times New Roman"/>
          <w:sz w:val="20"/>
          <w:szCs w:val="20"/>
        </w:rPr>
        <w:t>późn</w:t>
      </w:r>
      <w:proofErr w:type="spellEnd"/>
      <w:r w:rsidRPr="006A6F88">
        <w:rPr>
          <w:rFonts w:ascii="Times New Roman" w:eastAsia="Times New Roman" w:hAnsi="Times New Roman" w:cs="Times New Roman"/>
          <w:sz w:val="20"/>
          <w:szCs w:val="20"/>
        </w:rPr>
        <w:t>. zm.</w:t>
      </w:r>
    </w:p>
    <w:p w14:paraId="7D657F59" w14:textId="77777777" w:rsidR="006A6F88" w:rsidRDefault="006A6F88">
      <w:pPr>
        <w:spacing w:before="144" w:after="144" w:line="240" w:lineRule="auto"/>
        <w:jc w:val="center"/>
        <w:rPr>
          <w:rFonts w:ascii="Times New Roman" w:eastAsia="Times New Roman" w:hAnsi="Times New Roman" w:cs="Times New Roman"/>
          <w:b/>
          <w:sz w:val="20"/>
          <w:szCs w:val="20"/>
        </w:rPr>
      </w:pPr>
    </w:p>
    <w:p w14:paraId="39D368E7" w14:textId="77777777" w:rsidR="006B2688" w:rsidRDefault="006B2688">
      <w:pPr>
        <w:spacing w:before="144" w:after="144" w:line="240" w:lineRule="auto"/>
        <w:jc w:val="center"/>
        <w:rPr>
          <w:rFonts w:ascii="Times New Roman" w:eastAsia="Times New Roman" w:hAnsi="Times New Roman" w:cs="Times New Roman"/>
          <w:b/>
          <w:sz w:val="20"/>
          <w:szCs w:val="20"/>
        </w:rPr>
      </w:pPr>
    </w:p>
    <w:p w14:paraId="7E6C2B39" w14:textId="77777777" w:rsidR="006B2688" w:rsidRDefault="006B2688">
      <w:pPr>
        <w:spacing w:before="144" w:after="144" w:line="240" w:lineRule="auto"/>
        <w:jc w:val="center"/>
        <w:rPr>
          <w:rFonts w:ascii="Times New Roman" w:eastAsia="Times New Roman" w:hAnsi="Times New Roman" w:cs="Times New Roman"/>
          <w:b/>
          <w:sz w:val="20"/>
          <w:szCs w:val="20"/>
        </w:rPr>
      </w:pPr>
    </w:p>
    <w:p w14:paraId="16C32A96" w14:textId="77777777" w:rsidR="00C36D3E" w:rsidRDefault="00691959">
      <w:pPr>
        <w:spacing w:before="144" w:after="144" w:line="240" w:lineRule="auto"/>
        <w:jc w:val="center"/>
        <w:rPr>
          <w:rFonts w:ascii="Times New Roman" w:eastAsia="Times New Roman" w:hAnsi="Times New Roman" w:cs="Times New Roman"/>
          <w:b/>
          <w:sz w:val="20"/>
          <w:szCs w:val="20"/>
        </w:rPr>
      </w:pPr>
      <w:r w:rsidRPr="00D01837">
        <w:rPr>
          <w:rFonts w:ascii="Times New Roman" w:eastAsia="Times New Roman" w:hAnsi="Times New Roman" w:cs="Times New Roman"/>
          <w:b/>
          <w:sz w:val="20"/>
          <w:szCs w:val="20"/>
        </w:rPr>
        <w:t xml:space="preserve">PROSPEKT INFORMACYJNY </w:t>
      </w:r>
    </w:p>
    <w:p w14:paraId="58458027" w14:textId="77777777" w:rsidR="00F3569D" w:rsidRPr="00D01837" w:rsidRDefault="00241244">
      <w:pPr>
        <w:spacing w:before="144" w:after="144"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w:t>
      </w:r>
      <w:r w:rsidR="00F3569D">
        <w:rPr>
          <w:rFonts w:ascii="Times New Roman" w:eastAsia="Times New Roman" w:hAnsi="Times New Roman" w:cs="Times New Roman"/>
          <w:b/>
          <w:sz w:val="20"/>
          <w:szCs w:val="20"/>
        </w:rPr>
        <w:t>l. Mickiewicza, Kobyłka</w:t>
      </w:r>
    </w:p>
    <w:p w14:paraId="7D5232D4" w14:textId="77777777" w:rsidR="00C36D3E" w:rsidRPr="00D01837" w:rsidRDefault="00C36D3E">
      <w:pPr>
        <w:spacing w:before="60" w:after="60" w:line="240" w:lineRule="auto"/>
        <w:jc w:val="center"/>
        <w:rPr>
          <w:rFonts w:ascii="Times New Roman" w:eastAsia="Times New Roman" w:hAnsi="Times New Roman" w:cs="Times New Roman"/>
          <w:b/>
          <w:sz w:val="20"/>
          <w:szCs w:val="20"/>
        </w:rPr>
      </w:pPr>
    </w:p>
    <w:p w14:paraId="5574E6FA" w14:textId="77777777" w:rsidR="00C36D3E" w:rsidRPr="00D01837" w:rsidRDefault="00691959">
      <w:pPr>
        <w:spacing w:before="144" w:after="144" w:line="240" w:lineRule="auto"/>
        <w:rPr>
          <w:rFonts w:ascii="Times New Roman" w:eastAsia="Times New Roman" w:hAnsi="Times New Roman" w:cs="Times New Roman"/>
          <w:b/>
          <w:sz w:val="20"/>
          <w:szCs w:val="20"/>
        </w:rPr>
      </w:pPr>
      <w:r w:rsidRPr="00D01837">
        <w:rPr>
          <w:rFonts w:ascii="Times New Roman" w:eastAsia="Times New Roman" w:hAnsi="Times New Roman" w:cs="Times New Roman"/>
          <w:b/>
          <w:sz w:val="20"/>
          <w:szCs w:val="20"/>
        </w:rPr>
        <w:t>CZĘŚĆ OGÓLNA</w:t>
      </w:r>
    </w:p>
    <w:p w14:paraId="00CDD752" w14:textId="77777777" w:rsidR="00C36D3E" w:rsidRPr="00D01837" w:rsidRDefault="00C36D3E">
      <w:pPr>
        <w:spacing w:after="0" w:line="240" w:lineRule="auto"/>
        <w:rPr>
          <w:rFonts w:ascii="Times New Roman" w:eastAsia="Times New Roman" w:hAnsi="Times New Roman" w:cs="Times New Roman"/>
          <w:b/>
          <w:sz w:val="20"/>
          <w:szCs w:val="20"/>
        </w:rPr>
      </w:pPr>
    </w:p>
    <w:p w14:paraId="73CA17BD" w14:textId="77777777" w:rsidR="00C36D3E" w:rsidRPr="00D01837" w:rsidRDefault="00691959">
      <w:pPr>
        <w:widowControl w:val="0"/>
        <w:numPr>
          <w:ilvl w:val="0"/>
          <w:numId w:val="3"/>
        </w:numPr>
        <w:spacing w:after="280" w:line="240" w:lineRule="auto"/>
        <w:ind w:left="1077"/>
        <w:jc w:val="both"/>
        <w:rPr>
          <w:rFonts w:ascii="Times New Roman" w:eastAsia="Times New Roman" w:hAnsi="Times New Roman" w:cs="Times New Roman"/>
          <w:b/>
          <w:sz w:val="20"/>
          <w:szCs w:val="20"/>
        </w:rPr>
      </w:pPr>
      <w:r w:rsidRPr="00D01837">
        <w:rPr>
          <w:rFonts w:ascii="Times New Roman" w:eastAsia="Times New Roman" w:hAnsi="Times New Roman" w:cs="Times New Roman"/>
          <w:b/>
          <w:sz w:val="20"/>
          <w:szCs w:val="20"/>
        </w:rPr>
        <w:t>DANE IDENTYFIKACYJNE I KONTAKTOWE DOTYCZĄCE DEWELOPERA</w:t>
      </w:r>
    </w:p>
    <w:tbl>
      <w:tblPr>
        <w:tblStyle w:val="a"/>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8"/>
        <w:gridCol w:w="3240"/>
        <w:gridCol w:w="3420"/>
      </w:tblGrid>
      <w:tr w:rsidR="00D01837" w:rsidRPr="00D01837" w14:paraId="16C82F77" w14:textId="77777777">
        <w:tc>
          <w:tcPr>
            <w:tcW w:w="9648" w:type="dxa"/>
            <w:gridSpan w:val="3"/>
            <w:tcBorders>
              <w:bottom w:val="single" w:sz="4" w:space="0" w:color="000000"/>
            </w:tcBorders>
            <w:shd w:val="clear" w:color="auto" w:fill="E0E0E0"/>
          </w:tcPr>
          <w:p w14:paraId="2AFD9B48" w14:textId="77777777" w:rsidR="00C36D3E" w:rsidRPr="00D01837" w:rsidRDefault="00691959">
            <w:pPr>
              <w:spacing w:before="144" w:after="144" w:line="240" w:lineRule="auto"/>
              <w:jc w:val="both"/>
              <w:rPr>
                <w:rFonts w:ascii="Times New Roman" w:eastAsia="Times New Roman" w:hAnsi="Times New Roman" w:cs="Times New Roman"/>
                <w:b/>
                <w:sz w:val="20"/>
                <w:szCs w:val="20"/>
              </w:rPr>
            </w:pPr>
            <w:r w:rsidRPr="00D01837">
              <w:rPr>
                <w:rFonts w:ascii="Times New Roman" w:eastAsia="Times New Roman" w:hAnsi="Times New Roman" w:cs="Times New Roman"/>
                <w:b/>
                <w:sz w:val="20"/>
                <w:szCs w:val="20"/>
              </w:rPr>
              <w:t>DANE DEWELOPERA</w:t>
            </w:r>
          </w:p>
          <w:p w14:paraId="5E3AF4A4" w14:textId="77777777" w:rsidR="00C36D3E" w:rsidRPr="00D01837" w:rsidRDefault="00C36D3E">
            <w:pPr>
              <w:spacing w:before="144" w:after="144" w:line="240" w:lineRule="auto"/>
              <w:jc w:val="both"/>
              <w:rPr>
                <w:rFonts w:ascii="Times New Roman" w:eastAsia="Times New Roman" w:hAnsi="Times New Roman" w:cs="Times New Roman"/>
                <w:b/>
                <w:sz w:val="20"/>
                <w:szCs w:val="20"/>
              </w:rPr>
            </w:pPr>
          </w:p>
        </w:tc>
      </w:tr>
      <w:tr w:rsidR="00D01837" w:rsidRPr="00D01837" w14:paraId="1F6BCC00" w14:textId="77777777" w:rsidTr="00F3569D">
        <w:trPr>
          <w:trHeight w:val="462"/>
        </w:trPr>
        <w:tc>
          <w:tcPr>
            <w:tcW w:w="2988" w:type="dxa"/>
            <w:shd w:val="clear" w:color="auto" w:fill="F3F3F3"/>
          </w:tcPr>
          <w:p w14:paraId="18D1B3B0" w14:textId="77777777" w:rsidR="00C36D3E" w:rsidRPr="00D01837" w:rsidRDefault="00691959">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Deweloper</w:t>
            </w:r>
          </w:p>
        </w:tc>
        <w:tc>
          <w:tcPr>
            <w:tcW w:w="6660" w:type="dxa"/>
            <w:gridSpan w:val="2"/>
          </w:tcPr>
          <w:p w14:paraId="3FE7170B" w14:textId="77777777" w:rsidR="00C36D3E" w:rsidRPr="00D01837" w:rsidRDefault="00DF0DAF">
            <w:pPr>
              <w:spacing w:before="144" w:after="144" w:line="240" w:lineRule="auto"/>
              <w:jc w:val="both"/>
              <w:rPr>
                <w:rFonts w:ascii="Times New Roman" w:eastAsia="Times New Roman" w:hAnsi="Times New Roman" w:cs="Times New Roman"/>
                <w:sz w:val="24"/>
                <w:szCs w:val="24"/>
              </w:rPr>
            </w:pPr>
            <w:r w:rsidRPr="00D01837">
              <w:rPr>
                <w:rFonts w:ascii="Times New Roman" w:hAnsi="Times New Roman" w:cs="Times New Roman"/>
                <w:sz w:val="24"/>
                <w:szCs w:val="24"/>
              </w:rPr>
              <w:t>SDK Anna Michalska</w:t>
            </w:r>
          </w:p>
        </w:tc>
      </w:tr>
      <w:tr w:rsidR="00D01837" w:rsidRPr="00D01837" w14:paraId="0F9BA9A3" w14:textId="77777777" w:rsidTr="00F3569D">
        <w:trPr>
          <w:trHeight w:val="597"/>
        </w:trPr>
        <w:tc>
          <w:tcPr>
            <w:tcW w:w="2988" w:type="dxa"/>
            <w:shd w:val="clear" w:color="auto" w:fill="F3F3F3"/>
          </w:tcPr>
          <w:p w14:paraId="057DEF06" w14:textId="77777777" w:rsidR="00C36D3E" w:rsidRPr="00D01837" w:rsidRDefault="00691959">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Adres </w:t>
            </w:r>
          </w:p>
        </w:tc>
        <w:tc>
          <w:tcPr>
            <w:tcW w:w="6660" w:type="dxa"/>
            <w:gridSpan w:val="2"/>
          </w:tcPr>
          <w:p w14:paraId="4B47768C" w14:textId="77777777" w:rsidR="00C36D3E" w:rsidRPr="00D01837" w:rsidRDefault="00DF0DAF">
            <w:pPr>
              <w:spacing w:before="144" w:after="144" w:line="240" w:lineRule="auto"/>
              <w:jc w:val="both"/>
              <w:rPr>
                <w:rFonts w:ascii="Times New Roman" w:eastAsia="Times New Roman" w:hAnsi="Times New Roman" w:cs="Times New Roman"/>
                <w:sz w:val="24"/>
                <w:szCs w:val="24"/>
              </w:rPr>
            </w:pPr>
            <w:r w:rsidRPr="00D01837">
              <w:rPr>
                <w:rFonts w:ascii="Times New Roman" w:hAnsi="Times New Roman" w:cs="Times New Roman"/>
                <w:sz w:val="24"/>
                <w:szCs w:val="24"/>
                <w:lang w:val="en-US"/>
              </w:rPr>
              <w:t xml:space="preserve">05-220 Zielonka, </w:t>
            </w:r>
            <w:proofErr w:type="spellStart"/>
            <w:r w:rsidRPr="00D01837">
              <w:rPr>
                <w:rFonts w:ascii="Times New Roman" w:hAnsi="Times New Roman" w:cs="Times New Roman"/>
                <w:sz w:val="24"/>
                <w:szCs w:val="24"/>
                <w:lang w:val="en-US"/>
              </w:rPr>
              <w:t>ul</w:t>
            </w:r>
            <w:proofErr w:type="spellEnd"/>
            <w:r w:rsidRPr="00D01837">
              <w:rPr>
                <w:rFonts w:ascii="Times New Roman" w:hAnsi="Times New Roman" w:cs="Times New Roman"/>
                <w:sz w:val="24"/>
                <w:szCs w:val="24"/>
                <w:lang w:val="en-US"/>
              </w:rPr>
              <w:t xml:space="preserve">. </w:t>
            </w:r>
            <w:proofErr w:type="spellStart"/>
            <w:r w:rsidRPr="00D01837">
              <w:rPr>
                <w:rFonts w:ascii="Times New Roman" w:hAnsi="Times New Roman" w:cs="Times New Roman"/>
                <w:sz w:val="24"/>
                <w:szCs w:val="24"/>
                <w:lang w:val="en-US"/>
              </w:rPr>
              <w:t>Wschodnia</w:t>
            </w:r>
            <w:proofErr w:type="spellEnd"/>
            <w:r w:rsidRPr="00D01837">
              <w:rPr>
                <w:rFonts w:ascii="Times New Roman" w:hAnsi="Times New Roman" w:cs="Times New Roman"/>
                <w:sz w:val="24"/>
                <w:szCs w:val="24"/>
                <w:lang w:val="en-US"/>
              </w:rPr>
              <w:t xml:space="preserve"> 31</w:t>
            </w:r>
          </w:p>
        </w:tc>
      </w:tr>
      <w:tr w:rsidR="00D01837" w:rsidRPr="00D01837" w14:paraId="59316C2F" w14:textId="77777777">
        <w:trPr>
          <w:trHeight w:val="188"/>
        </w:trPr>
        <w:tc>
          <w:tcPr>
            <w:tcW w:w="2988" w:type="dxa"/>
            <w:shd w:val="clear" w:color="auto" w:fill="F3F3F3"/>
          </w:tcPr>
          <w:p w14:paraId="61C77E59" w14:textId="77777777" w:rsidR="00C36D3E" w:rsidRPr="00D01837" w:rsidRDefault="00691959">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Numer NIP REGON</w:t>
            </w:r>
          </w:p>
        </w:tc>
        <w:tc>
          <w:tcPr>
            <w:tcW w:w="3240" w:type="dxa"/>
          </w:tcPr>
          <w:p w14:paraId="3D46F5A6" w14:textId="77777777" w:rsidR="00C36D3E" w:rsidRPr="00D01837" w:rsidRDefault="00691959">
            <w:pPr>
              <w:spacing w:before="144" w:after="144" w:line="240" w:lineRule="auto"/>
              <w:jc w:val="both"/>
              <w:rPr>
                <w:rFonts w:ascii="Times New Roman" w:eastAsia="Times New Roman" w:hAnsi="Times New Roman" w:cs="Times New Roman"/>
                <w:sz w:val="24"/>
                <w:szCs w:val="24"/>
              </w:rPr>
            </w:pPr>
            <w:r w:rsidRPr="00D01837">
              <w:rPr>
                <w:rFonts w:ascii="Times New Roman" w:eastAsia="Times New Roman" w:hAnsi="Times New Roman" w:cs="Times New Roman"/>
                <w:sz w:val="24"/>
                <w:szCs w:val="24"/>
              </w:rPr>
              <w:t xml:space="preserve">NIP, </w:t>
            </w:r>
            <w:r w:rsidR="00DF0DAF" w:rsidRPr="00D01837">
              <w:rPr>
                <w:rFonts w:ascii="Times New Roman" w:hAnsi="Times New Roman" w:cs="Times New Roman"/>
                <w:b/>
                <w:sz w:val="24"/>
                <w:szCs w:val="24"/>
                <w:lang w:val="en-US"/>
              </w:rPr>
              <w:t>125-032-80-21</w:t>
            </w:r>
          </w:p>
        </w:tc>
        <w:tc>
          <w:tcPr>
            <w:tcW w:w="3420" w:type="dxa"/>
            <w:shd w:val="clear" w:color="auto" w:fill="auto"/>
          </w:tcPr>
          <w:p w14:paraId="664AA88F" w14:textId="77777777" w:rsidR="00C36D3E" w:rsidRPr="00D01837" w:rsidRDefault="00691959">
            <w:pPr>
              <w:spacing w:before="144" w:after="144" w:line="240" w:lineRule="auto"/>
              <w:jc w:val="both"/>
              <w:rPr>
                <w:rFonts w:ascii="Times New Roman" w:eastAsia="Times New Roman" w:hAnsi="Times New Roman" w:cs="Times New Roman"/>
                <w:sz w:val="24"/>
                <w:szCs w:val="24"/>
              </w:rPr>
            </w:pPr>
            <w:r w:rsidRPr="00D01837">
              <w:rPr>
                <w:rFonts w:ascii="Times New Roman" w:eastAsia="Times New Roman" w:hAnsi="Times New Roman" w:cs="Times New Roman"/>
                <w:sz w:val="24"/>
                <w:szCs w:val="24"/>
              </w:rPr>
              <w:t xml:space="preserve">REGON, </w:t>
            </w:r>
            <w:r w:rsidR="00DF0DAF" w:rsidRPr="00D01837">
              <w:rPr>
                <w:rFonts w:ascii="Times New Roman" w:hAnsi="Times New Roman" w:cs="Times New Roman"/>
                <w:b/>
                <w:sz w:val="24"/>
                <w:szCs w:val="24"/>
                <w:lang w:val="en-US"/>
              </w:rPr>
              <w:t>146095674</w:t>
            </w:r>
          </w:p>
        </w:tc>
      </w:tr>
      <w:tr w:rsidR="00D01837" w:rsidRPr="00D01837" w14:paraId="37F25765" w14:textId="77777777">
        <w:tc>
          <w:tcPr>
            <w:tcW w:w="2988" w:type="dxa"/>
            <w:shd w:val="clear" w:color="auto" w:fill="F3F3F3"/>
          </w:tcPr>
          <w:p w14:paraId="5810390A" w14:textId="77777777" w:rsidR="00C36D3E" w:rsidRPr="00D01837" w:rsidRDefault="00691959">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Numer telefonu</w:t>
            </w:r>
          </w:p>
        </w:tc>
        <w:tc>
          <w:tcPr>
            <w:tcW w:w="6660" w:type="dxa"/>
            <w:gridSpan w:val="2"/>
          </w:tcPr>
          <w:p w14:paraId="0169190A" w14:textId="77777777" w:rsidR="00C36D3E" w:rsidRPr="00D01837" w:rsidRDefault="00DF0DAF">
            <w:pPr>
              <w:spacing w:before="144" w:after="144" w:line="240" w:lineRule="auto"/>
              <w:jc w:val="both"/>
              <w:rPr>
                <w:rFonts w:ascii="Times New Roman" w:eastAsia="Times New Roman" w:hAnsi="Times New Roman" w:cs="Times New Roman"/>
                <w:sz w:val="24"/>
                <w:szCs w:val="24"/>
              </w:rPr>
            </w:pPr>
            <w:r w:rsidRPr="00D01837">
              <w:rPr>
                <w:rFonts w:ascii="Times New Roman" w:hAnsi="Times New Roman" w:cs="Times New Roman"/>
                <w:sz w:val="24"/>
                <w:szCs w:val="24"/>
                <w:lang w:val="en-US"/>
              </w:rPr>
              <w:t>602 478 184</w:t>
            </w:r>
          </w:p>
        </w:tc>
      </w:tr>
      <w:tr w:rsidR="00D01837" w:rsidRPr="00D01837" w14:paraId="17DA39BA" w14:textId="77777777">
        <w:trPr>
          <w:trHeight w:val="272"/>
        </w:trPr>
        <w:tc>
          <w:tcPr>
            <w:tcW w:w="2988" w:type="dxa"/>
            <w:shd w:val="clear" w:color="auto" w:fill="F3F3F3"/>
          </w:tcPr>
          <w:p w14:paraId="670F9176" w14:textId="77777777" w:rsidR="00C36D3E" w:rsidRPr="00D01837" w:rsidRDefault="00691959">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Adres poczty elektronicznej</w:t>
            </w:r>
          </w:p>
        </w:tc>
        <w:tc>
          <w:tcPr>
            <w:tcW w:w="6660" w:type="dxa"/>
            <w:gridSpan w:val="2"/>
          </w:tcPr>
          <w:p w14:paraId="5B4C4404" w14:textId="77777777" w:rsidR="00C36D3E" w:rsidRPr="00D01837" w:rsidRDefault="00071A06" w:rsidP="00D248CD">
            <w:pPr>
              <w:tabs>
                <w:tab w:val="left" w:pos="1545"/>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lang w:val="en-US"/>
              </w:rPr>
              <w:t>adam.ania@poczta.onet.pl</w:t>
            </w:r>
          </w:p>
        </w:tc>
      </w:tr>
      <w:tr w:rsidR="00D01837" w:rsidRPr="00D01837" w14:paraId="4E48A9F2" w14:textId="77777777">
        <w:tc>
          <w:tcPr>
            <w:tcW w:w="2988" w:type="dxa"/>
            <w:shd w:val="clear" w:color="auto" w:fill="F3F3F3"/>
          </w:tcPr>
          <w:p w14:paraId="29E55A1B" w14:textId="77777777" w:rsidR="00C36D3E" w:rsidRPr="00D01837" w:rsidRDefault="00691959">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Numer faksu</w:t>
            </w:r>
          </w:p>
        </w:tc>
        <w:tc>
          <w:tcPr>
            <w:tcW w:w="6660" w:type="dxa"/>
            <w:gridSpan w:val="2"/>
          </w:tcPr>
          <w:p w14:paraId="5EBE86DD" w14:textId="77777777" w:rsidR="00C36D3E" w:rsidRPr="00D01837" w:rsidRDefault="00D248CD">
            <w:pPr>
              <w:spacing w:before="144" w:after="144" w:line="240" w:lineRule="auto"/>
              <w:jc w:val="both"/>
              <w:rPr>
                <w:rFonts w:ascii="Times New Roman" w:eastAsia="Times New Roman" w:hAnsi="Times New Roman" w:cs="Times New Roman"/>
                <w:sz w:val="24"/>
                <w:szCs w:val="24"/>
              </w:rPr>
            </w:pPr>
            <w:r w:rsidRPr="00D01837">
              <w:rPr>
                <w:rFonts w:ascii="Times New Roman" w:eastAsia="Times New Roman" w:hAnsi="Times New Roman" w:cs="Times New Roman"/>
                <w:sz w:val="24"/>
                <w:szCs w:val="24"/>
              </w:rPr>
              <w:t>Brak</w:t>
            </w:r>
          </w:p>
        </w:tc>
      </w:tr>
      <w:tr w:rsidR="00D01837" w:rsidRPr="00D01837" w14:paraId="33F57491" w14:textId="77777777">
        <w:trPr>
          <w:trHeight w:val="218"/>
        </w:trPr>
        <w:tc>
          <w:tcPr>
            <w:tcW w:w="2988" w:type="dxa"/>
            <w:shd w:val="clear" w:color="auto" w:fill="F3F3F3"/>
          </w:tcPr>
          <w:p w14:paraId="54AC84B3" w14:textId="77777777" w:rsidR="00C36D3E" w:rsidRPr="00D01837" w:rsidRDefault="00691959">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Adres strony internetowej dewelopera</w:t>
            </w:r>
          </w:p>
        </w:tc>
        <w:tc>
          <w:tcPr>
            <w:tcW w:w="6660" w:type="dxa"/>
            <w:gridSpan w:val="2"/>
            <w:shd w:val="clear" w:color="auto" w:fill="auto"/>
          </w:tcPr>
          <w:p w14:paraId="796BB46B" w14:textId="77777777" w:rsidR="00C36D3E" w:rsidRPr="00D01837" w:rsidRDefault="00DF0DAF">
            <w:pPr>
              <w:spacing w:before="144" w:after="144" w:line="240" w:lineRule="auto"/>
              <w:jc w:val="both"/>
              <w:rPr>
                <w:rFonts w:ascii="Times New Roman" w:eastAsia="Times New Roman" w:hAnsi="Times New Roman" w:cs="Times New Roman"/>
                <w:sz w:val="24"/>
                <w:szCs w:val="24"/>
              </w:rPr>
            </w:pPr>
            <w:hyperlink r:id="rId8">
              <w:r w:rsidRPr="00D01837">
                <w:rPr>
                  <w:rStyle w:val="Hipercze"/>
                  <w:rFonts w:ascii="Times New Roman" w:hAnsi="Times New Roman" w:cs="Times New Roman"/>
                  <w:color w:val="auto"/>
                  <w:sz w:val="24"/>
                  <w:szCs w:val="24"/>
                  <w:lang w:val="en-US"/>
                </w:rPr>
                <w:t>www.domykobylka.pl</w:t>
              </w:r>
            </w:hyperlink>
            <w:hyperlink r:id="rId9"/>
          </w:p>
        </w:tc>
      </w:tr>
    </w:tbl>
    <w:p w14:paraId="6A85B6B7" w14:textId="77777777" w:rsidR="00F3569D" w:rsidRDefault="00F3569D" w:rsidP="00F3569D">
      <w:pPr>
        <w:widowControl w:val="0"/>
        <w:spacing w:before="240" w:after="280" w:line="240" w:lineRule="auto"/>
        <w:ind w:left="1077"/>
        <w:jc w:val="both"/>
        <w:rPr>
          <w:rFonts w:ascii="Times New Roman" w:eastAsia="Times New Roman" w:hAnsi="Times New Roman" w:cs="Times New Roman"/>
          <w:b/>
          <w:sz w:val="20"/>
          <w:szCs w:val="20"/>
        </w:rPr>
      </w:pPr>
    </w:p>
    <w:p w14:paraId="26BF74BB" w14:textId="77777777" w:rsidR="00F3569D" w:rsidRDefault="00F3569D" w:rsidP="00F3569D">
      <w:pPr>
        <w:widowControl w:val="0"/>
        <w:spacing w:before="240" w:after="280" w:line="240" w:lineRule="auto"/>
        <w:ind w:left="1077"/>
        <w:jc w:val="both"/>
        <w:rPr>
          <w:rFonts w:ascii="Times New Roman" w:eastAsia="Times New Roman" w:hAnsi="Times New Roman" w:cs="Times New Roman"/>
          <w:b/>
          <w:sz w:val="20"/>
          <w:szCs w:val="20"/>
        </w:rPr>
      </w:pPr>
    </w:p>
    <w:p w14:paraId="19EDF324" w14:textId="77777777" w:rsidR="00F3569D" w:rsidRDefault="00F3569D" w:rsidP="00F3569D">
      <w:pPr>
        <w:widowControl w:val="0"/>
        <w:spacing w:before="240" w:after="280" w:line="240" w:lineRule="auto"/>
        <w:ind w:left="1077"/>
        <w:jc w:val="both"/>
        <w:rPr>
          <w:rFonts w:ascii="Times New Roman" w:eastAsia="Times New Roman" w:hAnsi="Times New Roman" w:cs="Times New Roman"/>
          <w:b/>
          <w:sz w:val="20"/>
          <w:szCs w:val="20"/>
        </w:rPr>
      </w:pPr>
    </w:p>
    <w:p w14:paraId="58957150" w14:textId="77777777" w:rsidR="00F3569D" w:rsidRDefault="00F3569D" w:rsidP="00F3569D">
      <w:pPr>
        <w:widowControl w:val="0"/>
        <w:spacing w:before="240" w:after="280" w:line="240" w:lineRule="auto"/>
        <w:ind w:left="1077"/>
        <w:jc w:val="both"/>
        <w:rPr>
          <w:rFonts w:ascii="Times New Roman" w:eastAsia="Times New Roman" w:hAnsi="Times New Roman" w:cs="Times New Roman"/>
          <w:b/>
          <w:sz w:val="20"/>
          <w:szCs w:val="20"/>
        </w:rPr>
      </w:pPr>
    </w:p>
    <w:p w14:paraId="7828DD9B" w14:textId="77777777" w:rsidR="00F3569D" w:rsidRDefault="00F3569D" w:rsidP="00F3569D">
      <w:pPr>
        <w:widowControl w:val="0"/>
        <w:spacing w:before="240" w:after="280" w:line="240" w:lineRule="auto"/>
        <w:ind w:left="1077"/>
        <w:jc w:val="both"/>
        <w:rPr>
          <w:rFonts w:ascii="Times New Roman" w:eastAsia="Times New Roman" w:hAnsi="Times New Roman" w:cs="Times New Roman"/>
          <w:b/>
          <w:sz w:val="20"/>
          <w:szCs w:val="20"/>
        </w:rPr>
      </w:pPr>
    </w:p>
    <w:p w14:paraId="52CA7174" w14:textId="77777777" w:rsidR="00F3569D" w:rsidRDefault="00F3569D" w:rsidP="00F3569D">
      <w:pPr>
        <w:widowControl w:val="0"/>
        <w:spacing w:before="240" w:after="280" w:line="240" w:lineRule="auto"/>
        <w:ind w:left="1077"/>
        <w:jc w:val="both"/>
        <w:rPr>
          <w:rFonts w:ascii="Times New Roman" w:eastAsia="Times New Roman" w:hAnsi="Times New Roman" w:cs="Times New Roman"/>
          <w:b/>
          <w:sz w:val="20"/>
          <w:szCs w:val="20"/>
        </w:rPr>
      </w:pPr>
    </w:p>
    <w:p w14:paraId="3B6F4994" w14:textId="77777777" w:rsidR="00F3569D" w:rsidRDefault="00F3569D" w:rsidP="00F3569D">
      <w:pPr>
        <w:widowControl w:val="0"/>
        <w:spacing w:before="240" w:after="280" w:line="240" w:lineRule="auto"/>
        <w:ind w:left="1077"/>
        <w:jc w:val="both"/>
        <w:rPr>
          <w:rFonts w:ascii="Times New Roman" w:eastAsia="Times New Roman" w:hAnsi="Times New Roman" w:cs="Times New Roman"/>
          <w:b/>
          <w:sz w:val="20"/>
          <w:szCs w:val="20"/>
        </w:rPr>
      </w:pPr>
    </w:p>
    <w:p w14:paraId="376695D2" w14:textId="77777777" w:rsidR="00F3569D" w:rsidRDefault="00F3569D" w:rsidP="00F3569D">
      <w:pPr>
        <w:widowControl w:val="0"/>
        <w:spacing w:before="240" w:after="280" w:line="240" w:lineRule="auto"/>
        <w:ind w:left="1077"/>
        <w:jc w:val="both"/>
        <w:rPr>
          <w:rFonts w:ascii="Times New Roman" w:eastAsia="Times New Roman" w:hAnsi="Times New Roman" w:cs="Times New Roman"/>
          <w:b/>
          <w:sz w:val="20"/>
          <w:szCs w:val="20"/>
        </w:rPr>
      </w:pPr>
    </w:p>
    <w:p w14:paraId="758E7812" w14:textId="77777777" w:rsidR="00F3569D" w:rsidRDefault="00F3569D" w:rsidP="00F3569D">
      <w:pPr>
        <w:widowControl w:val="0"/>
        <w:spacing w:before="240" w:after="280" w:line="240" w:lineRule="auto"/>
        <w:ind w:left="1077"/>
        <w:jc w:val="both"/>
        <w:rPr>
          <w:rFonts w:ascii="Times New Roman" w:eastAsia="Times New Roman" w:hAnsi="Times New Roman" w:cs="Times New Roman"/>
          <w:b/>
          <w:sz w:val="20"/>
          <w:szCs w:val="20"/>
        </w:rPr>
      </w:pPr>
    </w:p>
    <w:p w14:paraId="75A1421F" w14:textId="77777777" w:rsidR="00C36D3E" w:rsidRPr="00D01837" w:rsidRDefault="00691959">
      <w:pPr>
        <w:widowControl w:val="0"/>
        <w:numPr>
          <w:ilvl w:val="0"/>
          <w:numId w:val="3"/>
        </w:numPr>
        <w:spacing w:before="240" w:after="280" w:line="240" w:lineRule="auto"/>
        <w:ind w:left="1077"/>
        <w:jc w:val="both"/>
        <w:rPr>
          <w:rFonts w:ascii="Times New Roman" w:eastAsia="Times New Roman" w:hAnsi="Times New Roman" w:cs="Times New Roman"/>
          <w:b/>
          <w:sz w:val="20"/>
          <w:szCs w:val="20"/>
        </w:rPr>
      </w:pPr>
      <w:r w:rsidRPr="00D01837">
        <w:rPr>
          <w:rFonts w:ascii="Times New Roman" w:eastAsia="Times New Roman" w:hAnsi="Times New Roman" w:cs="Times New Roman"/>
          <w:b/>
          <w:sz w:val="20"/>
          <w:szCs w:val="20"/>
        </w:rPr>
        <w:lastRenderedPageBreak/>
        <w:t>DOŚWIADCZENIE DEWELOPERA</w:t>
      </w:r>
    </w:p>
    <w:tbl>
      <w:tblPr>
        <w:tblStyle w:val="a0"/>
        <w:tblW w:w="96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7"/>
        <w:gridCol w:w="6946"/>
      </w:tblGrid>
      <w:tr w:rsidR="00D01837" w:rsidRPr="00D01837" w14:paraId="35C6F0B4" w14:textId="77777777" w:rsidTr="004573FD">
        <w:trPr>
          <w:trHeight w:val="475"/>
        </w:trPr>
        <w:tc>
          <w:tcPr>
            <w:tcW w:w="9613" w:type="dxa"/>
            <w:gridSpan w:val="2"/>
            <w:tcBorders>
              <w:bottom w:val="single" w:sz="4" w:space="0" w:color="000000"/>
            </w:tcBorders>
            <w:shd w:val="clear" w:color="auto" w:fill="E0E0E0"/>
          </w:tcPr>
          <w:p w14:paraId="46729B91" w14:textId="77777777" w:rsidR="00C36D3E" w:rsidRPr="00D01837" w:rsidRDefault="00691959">
            <w:pPr>
              <w:spacing w:before="144" w:after="144" w:line="240" w:lineRule="auto"/>
              <w:jc w:val="both"/>
              <w:rPr>
                <w:rFonts w:ascii="Times New Roman" w:eastAsia="Times New Roman" w:hAnsi="Times New Roman" w:cs="Times New Roman"/>
                <w:b/>
                <w:sz w:val="20"/>
                <w:szCs w:val="20"/>
              </w:rPr>
            </w:pPr>
            <w:r w:rsidRPr="00D01837">
              <w:rPr>
                <w:rFonts w:ascii="Times New Roman" w:eastAsia="Times New Roman" w:hAnsi="Times New Roman" w:cs="Times New Roman"/>
                <w:b/>
                <w:sz w:val="20"/>
                <w:szCs w:val="20"/>
              </w:rPr>
              <w:t>HISTORIA I UDOKUMENTOWANE DOŚWIADCZENIE DEWELOPERA</w:t>
            </w:r>
          </w:p>
        </w:tc>
      </w:tr>
      <w:tr w:rsidR="00D01837" w:rsidRPr="00D01837" w14:paraId="08DA7046" w14:textId="77777777" w:rsidTr="004573FD">
        <w:tc>
          <w:tcPr>
            <w:tcW w:w="9613" w:type="dxa"/>
            <w:gridSpan w:val="2"/>
            <w:tcBorders>
              <w:bottom w:val="single" w:sz="4" w:space="0" w:color="000000"/>
            </w:tcBorders>
            <w:shd w:val="clear" w:color="auto" w:fill="E0E0E0"/>
          </w:tcPr>
          <w:p w14:paraId="2C0CF9DD" w14:textId="77777777" w:rsidR="00C36D3E" w:rsidRPr="00D01837" w:rsidRDefault="00691959">
            <w:pPr>
              <w:spacing w:before="144" w:after="144" w:line="240" w:lineRule="auto"/>
              <w:jc w:val="both"/>
              <w:rPr>
                <w:rFonts w:ascii="Times New Roman" w:eastAsia="Times New Roman" w:hAnsi="Times New Roman" w:cs="Times New Roman"/>
                <w:b/>
                <w:sz w:val="20"/>
                <w:szCs w:val="20"/>
              </w:rPr>
            </w:pPr>
            <w:r w:rsidRPr="00D01837">
              <w:rPr>
                <w:rFonts w:ascii="Times New Roman" w:eastAsia="Times New Roman" w:hAnsi="Times New Roman" w:cs="Times New Roman"/>
                <w:b/>
                <w:sz w:val="20"/>
                <w:szCs w:val="20"/>
              </w:rPr>
              <w:t>PRZYKŁAD UKOŃCZONEGO PRZEDSIĘWZIĘCIA DEWELOPERSKIEGO (należy wskazać, o ile istnieją, trzy ukończone przedsięwzięcia deweloperskie, w tym ostatnie)</w:t>
            </w:r>
          </w:p>
        </w:tc>
      </w:tr>
      <w:tr w:rsidR="00B228DE" w:rsidRPr="00D01837" w14:paraId="239785BE" w14:textId="77777777" w:rsidTr="004573FD">
        <w:trPr>
          <w:trHeight w:val="135"/>
        </w:trPr>
        <w:tc>
          <w:tcPr>
            <w:tcW w:w="2667" w:type="dxa"/>
            <w:shd w:val="clear" w:color="auto" w:fill="F3F3F3"/>
          </w:tcPr>
          <w:p w14:paraId="3F11F0DE" w14:textId="77777777" w:rsidR="00B228DE" w:rsidRPr="00D01837" w:rsidRDefault="00B228DE">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Adres </w:t>
            </w:r>
          </w:p>
        </w:tc>
        <w:tc>
          <w:tcPr>
            <w:tcW w:w="6946" w:type="dxa"/>
          </w:tcPr>
          <w:p w14:paraId="2E523A68" w14:textId="77777777" w:rsidR="00B228DE" w:rsidRPr="007B2D32" w:rsidRDefault="00B228DE" w:rsidP="00B228DE">
            <w:pPr>
              <w:spacing w:before="144" w:after="144" w:line="240" w:lineRule="auto"/>
              <w:jc w:val="both"/>
              <w:rPr>
                <w:rFonts w:ascii="Times New Roman" w:eastAsia="Times New Roman" w:hAnsi="Times New Roman" w:cs="Times New Roman"/>
                <w:sz w:val="20"/>
                <w:szCs w:val="20"/>
              </w:rPr>
            </w:pPr>
            <w:r w:rsidRPr="007B2D32">
              <w:rPr>
                <w:rFonts w:ascii="Times New Roman" w:hAnsi="Times New Roman" w:cs="Times New Roman"/>
                <w:sz w:val="20"/>
                <w:szCs w:val="20"/>
              </w:rPr>
              <w:t>05-230 Kobyłka ul. Mickiewicza 21, 21A, 21B, 21C, 21D, 21E, 21F, 21G, 21H, 21J</w:t>
            </w:r>
          </w:p>
        </w:tc>
      </w:tr>
      <w:tr w:rsidR="00B228DE" w:rsidRPr="00D01837" w14:paraId="64D936DB" w14:textId="77777777" w:rsidTr="004573FD">
        <w:tc>
          <w:tcPr>
            <w:tcW w:w="2667" w:type="dxa"/>
            <w:shd w:val="clear" w:color="auto" w:fill="F3F3F3"/>
          </w:tcPr>
          <w:p w14:paraId="06F29B53" w14:textId="77777777" w:rsidR="00B228DE" w:rsidRPr="00D01837" w:rsidRDefault="00B228DE" w:rsidP="00DF0DAF">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Data rozpoczęcia </w:t>
            </w:r>
          </w:p>
        </w:tc>
        <w:tc>
          <w:tcPr>
            <w:tcW w:w="6946" w:type="dxa"/>
          </w:tcPr>
          <w:p w14:paraId="243D75B4" w14:textId="77777777" w:rsidR="00B228DE" w:rsidRPr="007B2D32" w:rsidRDefault="00B228DE" w:rsidP="00B228DE">
            <w:pPr>
              <w:spacing w:before="144" w:after="144" w:line="240" w:lineRule="auto"/>
              <w:jc w:val="both"/>
              <w:rPr>
                <w:rFonts w:ascii="Times New Roman" w:eastAsia="Times New Roman" w:hAnsi="Times New Roman" w:cs="Times New Roman"/>
                <w:sz w:val="20"/>
                <w:szCs w:val="20"/>
              </w:rPr>
            </w:pPr>
            <w:r w:rsidRPr="007B2D32">
              <w:rPr>
                <w:rFonts w:ascii="Times New Roman" w:hAnsi="Times New Roman" w:cs="Times New Roman"/>
                <w:sz w:val="20"/>
                <w:szCs w:val="20"/>
              </w:rPr>
              <w:t xml:space="preserve">28.11.2018 r. </w:t>
            </w:r>
          </w:p>
        </w:tc>
      </w:tr>
      <w:tr w:rsidR="00B228DE" w:rsidRPr="00D01837" w14:paraId="3C002958" w14:textId="77777777" w:rsidTr="004573FD">
        <w:tc>
          <w:tcPr>
            <w:tcW w:w="2667" w:type="dxa"/>
            <w:shd w:val="clear" w:color="auto" w:fill="F3F3F3"/>
          </w:tcPr>
          <w:p w14:paraId="7C1A5FCC" w14:textId="77777777" w:rsidR="00B228DE" w:rsidRPr="00D01837" w:rsidRDefault="00B228DE" w:rsidP="00DF0DAF">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Data wydania decyzji o pozwoleniu na użytkowanie</w:t>
            </w:r>
          </w:p>
        </w:tc>
        <w:tc>
          <w:tcPr>
            <w:tcW w:w="6946" w:type="dxa"/>
          </w:tcPr>
          <w:p w14:paraId="1ADA1910" w14:textId="77777777" w:rsidR="00B228DE" w:rsidRPr="007B2D32" w:rsidRDefault="00B228DE" w:rsidP="00B228DE">
            <w:pPr>
              <w:spacing w:before="144" w:after="144" w:line="240" w:lineRule="auto"/>
              <w:jc w:val="both"/>
              <w:rPr>
                <w:rFonts w:ascii="Times New Roman" w:eastAsia="Times New Roman" w:hAnsi="Times New Roman" w:cs="Times New Roman"/>
                <w:sz w:val="20"/>
                <w:szCs w:val="20"/>
              </w:rPr>
            </w:pPr>
            <w:r w:rsidRPr="007B2D32">
              <w:rPr>
                <w:rFonts w:ascii="Times New Roman" w:hAnsi="Times New Roman" w:cs="Times New Roman"/>
                <w:sz w:val="20"/>
                <w:szCs w:val="20"/>
              </w:rPr>
              <w:t xml:space="preserve">31.03.2021 r. </w:t>
            </w:r>
          </w:p>
        </w:tc>
      </w:tr>
      <w:tr w:rsidR="00D01837" w:rsidRPr="00D01837" w14:paraId="6BA945BC" w14:textId="77777777" w:rsidTr="004573FD">
        <w:tc>
          <w:tcPr>
            <w:tcW w:w="9613" w:type="dxa"/>
            <w:gridSpan w:val="2"/>
            <w:tcBorders>
              <w:bottom w:val="single" w:sz="4" w:space="0" w:color="000000"/>
            </w:tcBorders>
            <w:shd w:val="clear" w:color="auto" w:fill="E0E0E0"/>
          </w:tcPr>
          <w:p w14:paraId="6D3EE716" w14:textId="77777777" w:rsidR="00C36D3E" w:rsidRPr="00D01837" w:rsidRDefault="00691959">
            <w:pPr>
              <w:spacing w:before="144" w:after="144" w:line="240" w:lineRule="auto"/>
              <w:jc w:val="both"/>
              <w:rPr>
                <w:rFonts w:ascii="Times New Roman" w:eastAsia="Times New Roman" w:hAnsi="Times New Roman" w:cs="Times New Roman"/>
                <w:b/>
                <w:sz w:val="20"/>
                <w:szCs w:val="20"/>
              </w:rPr>
            </w:pPr>
            <w:r w:rsidRPr="00D01837">
              <w:rPr>
                <w:rFonts w:ascii="Times New Roman" w:eastAsia="Times New Roman" w:hAnsi="Times New Roman" w:cs="Times New Roman"/>
                <w:b/>
                <w:sz w:val="20"/>
                <w:szCs w:val="20"/>
              </w:rPr>
              <w:t>PRZYKŁAD INNEGO UKOŃCZONEGO PRZEDSIĘWZIĘCIA DEWELOPERSKIEGO</w:t>
            </w:r>
          </w:p>
          <w:p w14:paraId="21343A32" w14:textId="77777777" w:rsidR="00C36D3E" w:rsidRPr="00D01837" w:rsidRDefault="00C36D3E">
            <w:pPr>
              <w:spacing w:before="144" w:after="144" w:line="240" w:lineRule="auto"/>
              <w:jc w:val="both"/>
              <w:rPr>
                <w:rFonts w:ascii="Times New Roman" w:eastAsia="Times New Roman" w:hAnsi="Times New Roman" w:cs="Times New Roman"/>
                <w:b/>
                <w:sz w:val="20"/>
                <w:szCs w:val="20"/>
              </w:rPr>
            </w:pPr>
          </w:p>
        </w:tc>
      </w:tr>
      <w:tr w:rsidR="00D01837" w:rsidRPr="00D01837" w14:paraId="79DE3338" w14:textId="77777777" w:rsidTr="004573FD">
        <w:trPr>
          <w:trHeight w:val="135"/>
        </w:trPr>
        <w:tc>
          <w:tcPr>
            <w:tcW w:w="2667" w:type="dxa"/>
            <w:shd w:val="clear" w:color="auto" w:fill="F3F3F3"/>
          </w:tcPr>
          <w:p w14:paraId="57E538A1" w14:textId="77777777" w:rsidR="00C36D3E" w:rsidRPr="00D01837" w:rsidRDefault="00691959">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Adres </w:t>
            </w:r>
          </w:p>
        </w:tc>
        <w:tc>
          <w:tcPr>
            <w:tcW w:w="6946" w:type="dxa"/>
          </w:tcPr>
          <w:p w14:paraId="0FBA51BB" w14:textId="77777777" w:rsidR="00C36D3E" w:rsidRPr="007B2D32" w:rsidRDefault="0051644A" w:rsidP="007B2D32">
            <w:pPr>
              <w:spacing w:before="144" w:after="144" w:line="240" w:lineRule="auto"/>
              <w:jc w:val="both"/>
              <w:rPr>
                <w:rFonts w:ascii="Times New Roman" w:eastAsia="Times New Roman" w:hAnsi="Times New Roman" w:cs="Times New Roman"/>
                <w:sz w:val="20"/>
                <w:szCs w:val="20"/>
              </w:rPr>
            </w:pPr>
            <w:r w:rsidRPr="007B2D32">
              <w:rPr>
                <w:rFonts w:ascii="Times New Roman" w:eastAsia="Times New Roman" w:hAnsi="Times New Roman" w:cs="Times New Roman"/>
                <w:sz w:val="20"/>
                <w:szCs w:val="20"/>
              </w:rPr>
              <w:t>Kobyłka</w:t>
            </w:r>
            <w:r w:rsidRPr="007B2D32">
              <w:rPr>
                <w:rFonts w:ascii="Times New Roman" w:eastAsia="Times New Roman" w:hAnsi="Times New Roman" w:cs="Times New Roman"/>
                <w:color w:val="FF0000"/>
                <w:sz w:val="20"/>
                <w:szCs w:val="20"/>
              </w:rPr>
              <w:t xml:space="preserve"> </w:t>
            </w:r>
            <w:r w:rsidRPr="007B2D32">
              <w:rPr>
                <w:rFonts w:ascii="Times New Roman" w:eastAsia="Times New Roman" w:hAnsi="Times New Roman" w:cs="Times New Roman"/>
                <w:sz w:val="20"/>
                <w:szCs w:val="20"/>
              </w:rPr>
              <w:t xml:space="preserve">ul. Rosłana </w:t>
            </w:r>
            <w:r w:rsidR="007B2D32" w:rsidRPr="007B2D32">
              <w:rPr>
                <w:rFonts w:ascii="Times New Roman" w:eastAsia="Times New Roman" w:hAnsi="Times New Roman" w:cs="Times New Roman"/>
                <w:sz w:val="20"/>
                <w:szCs w:val="20"/>
              </w:rPr>
              <w:t>4, 4A, 4B, 4C</w:t>
            </w:r>
          </w:p>
        </w:tc>
      </w:tr>
      <w:tr w:rsidR="00D01837" w:rsidRPr="00D01837" w14:paraId="0E0D7633" w14:textId="77777777" w:rsidTr="004573FD">
        <w:tc>
          <w:tcPr>
            <w:tcW w:w="2667" w:type="dxa"/>
            <w:shd w:val="clear" w:color="auto" w:fill="F3F3F3"/>
          </w:tcPr>
          <w:p w14:paraId="5C5FE5B3" w14:textId="77777777" w:rsidR="00DF0DAF" w:rsidRPr="00D01837" w:rsidRDefault="00DF0DAF" w:rsidP="00DF0DAF">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Data rozpoczęcia </w:t>
            </w:r>
          </w:p>
        </w:tc>
        <w:tc>
          <w:tcPr>
            <w:tcW w:w="6946" w:type="dxa"/>
          </w:tcPr>
          <w:p w14:paraId="65FBF5B1" w14:textId="77777777" w:rsidR="00DF0DAF" w:rsidRPr="007B2D32" w:rsidRDefault="0051644A" w:rsidP="00DF0DAF">
            <w:pPr>
              <w:spacing w:before="144" w:after="144" w:line="240" w:lineRule="auto"/>
              <w:jc w:val="both"/>
              <w:rPr>
                <w:rFonts w:ascii="Times New Roman" w:eastAsia="Times New Roman" w:hAnsi="Times New Roman" w:cs="Times New Roman"/>
                <w:sz w:val="20"/>
                <w:szCs w:val="20"/>
              </w:rPr>
            </w:pPr>
            <w:r w:rsidRPr="007B2D32">
              <w:rPr>
                <w:rFonts w:ascii="Times New Roman" w:eastAsia="Times New Roman" w:hAnsi="Times New Roman" w:cs="Times New Roman"/>
                <w:sz w:val="20"/>
                <w:szCs w:val="20"/>
              </w:rPr>
              <w:t>29.06.2022 r.</w:t>
            </w:r>
          </w:p>
        </w:tc>
      </w:tr>
      <w:tr w:rsidR="00D01837" w:rsidRPr="00D01837" w14:paraId="6FC44A47" w14:textId="77777777" w:rsidTr="004573FD">
        <w:tc>
          <w:tcPr>
            <w:tcW w:w="2667" w:type="dxa"/>
            <w:shd w:val="clear" w:color="auto" w:fill="F3F3F3"/>
          </w:tcPr>
          <w:p w14:paraId="357C2F69" w14:textId="77777777" w:rsidR="00DF0DAF" w:rsidRPr="00D01837" w:rsidRDefault="00DF0DAF" w:rsidP="00DF0DAF">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Data wydania decyzji o pozwoleniu na użytkowanie</w:t>
            </w:r>
          </w:p>
        </w:tc>
        <w:tc>
          <w:tcPr>
            <w:tcW w:w="6946" w:type="dxa"/>
          </w:tcPr>
          <w:p w14:paraId="7833A16A" w14:textId="77777777" w:rsidR="00DF0DAF" w:rsidRPr="00D01837" w:rsidRDefault="007B2D32" w:rsidP="00DF0DAF">
            <w:pPr>
              <w:spacing w:before="144"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20.09.2023 r.</w:t>
            </w:r>
          </w:p>
        </w:tc>
      </w:tr>
      <w:tr w:rsidR="00D01837" w:rsidRPr="00D01837" w14:paraId="19D2F9ED" w14:textId="77777777" w:rsidTr="004573FD">
        <w:tc>
          <w:tcPr>
            <w:tcW w:w="9613" w:type="dxa"/>
            <w:gridSpan w:val="2"/>
            <w:tcBorders>
              <w:bottom w:val="single" w:sz="4" w:space="0" w:color="000000"/>
            </w:tcBorders>
            <w:shd w:val="clear" w:color="auto" w:fill="E0E0E0"/>
          </w:tcPr>
          <w:p w14:paraId="58627FDA" w14:textId="77777777" w:rsidR="00C36D3E" w:rsidRPr="00D01837" w:rsidRDefault="00691959">
            <w:pPr>
              <w:spacing w:after="280" w:line="240" w:lineRule="auto"/>
              <w:jc w:val="both"/>
              <w:rPr>
                <w:rFonts w:ascii="Times New Roman" w:eastAsia="Times New Roman" w:hAnsi="Times New Roman" w:cs="Times New Roman"/>
                <w:b/>
                <w:sz w:val="20"/>
                <w:szCs w:val="20"/>
              </w:rPr>
            </w:pPr>
            <w:r w:rsidRPr="00D01837">
              <w:rPr>
                <w:rFonts w:ascii="Times New Roman" w:eastAsia="Times New Roman" w:hAnsi="Times New Roman" w:cs="Times New Roman"/>
                <w:b/>
                <w:sz w:val="20"/>
                <w:szCs w:val="20"/>
              </w:rPr>
              <w:t>PRZYKŁAD OSTATNIEGO UKOŃCZONEGO PRZEDSIĘWZIĘCIA DEWELOPERSKIEGO</w:t>
            </w:r>
          </w:p>
          <w:p w14:paraId="55CFA3FD" w14:textId="77777777" w:rsidR="00C36D3E" w:rsidRPr="00D01837" w:rsidRDefault="00C36D3E">
            <w:pPr>
              <w:spacing w:before="280" w:line="240" w:lineRule="auto"/>
              <w:jc w:val="both"/>
              <w:rPr>
                <w:rFonts w:ascii="Times New Roman" w:eastAsia="Times New Roman" w:hAnsi="Times New Roman" w:cs="Times New Roman"/>
                <w:b/>
                <w:sz w:val="20"/>
                <w:szCs w:val="20"/>
              </w:rPr>
            </w:pPr>
          </w:p>
        </w:tc>
      </w:tr>
      <w:tr w:rsidR="00B228DE" w:rsidRPr="00D01837" w14:paraId="332AAF1F" w14:textId="77777777" w:rsidTr="004573FD">
        <w:trPr>
          <w:trHeight w:val="135"/>
        </w:trPr>
        <w:tc>
          <w:tcPr>
            <w:tcW w:w="2667" w:type="dxa"/>
            <w:shd w:val="clear" w:color="auto" w:fill="F3F3F3"/>
          </w:tcPr>
          <w:p w14:paraId="4DCACAD8" w14:textId="77777777" w:rsidR="00B228DE" w:rsidRPr="00D01837" w:rsidRDefault="00B228DE">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Adres </w:t>
            </w:r>
          </w:p>
        </w:tc>
        <w:tc>
          <w:tcPr>
            <w:tcW w:w="6946" w:type="dxa"/>
          </w:tcPr>
          <w:p w14:paraId="77D4A0D3" w14:textId="77777777" w:rsidR="00B228DE" w:rsidRPr="00B228DE" w:rsidRDefault="00B228DE" w:rsidP="00B228DE">
            <w:pPr>
              <w:spacing w:before="144" w:after="144" w:line="240" w:lineRule="auto"/>
              <w:jc w:val="both"/>
              <w:rPr>
                <w:rFonts w:ascii="Times New Roman" w:eastAsia="Times New Roman" w:hAnsi="Times New Roman" w:cs="Times New Roman"/>
                <w:b/>
                <w:sz w:val="20"/>
                <w:szCs w:val="20"/>
              </w:rPr>
            </w:pPr>
            <w:r w:rsidRPr="00B228DE">
              <w:rPr>
                <w:rFonts w:ascii="Times New Roman" w:eastAsia="Times New Roman" w:hAnsi="Times New Roman" w:cs="Times New Roman"/>
                <w:sz w:val="20"/>
                <w:szCs w:val="20"/>
              </w:rPr>
              <w:t>Kobyłka ul. mjr Hubala 7A, 7B</w:t>
            </w:r>
          </w:p>
        </w:tc>
      </w:tr>
      <w:tr w:rsidR="00B228DE" w:rsidRPr="00D01837" w14:paraId="074BAD31" w14:textId="77777777" w:rsidTr="004573FD">
        <w:tc>
          <w:tcPr>
            <w:tcW w:w="2667" w:type="dxa"/>
            <w:shd w:val="clear" w:color="auto" w:fill="F3F3F3"/>
          </w:tcPr>
          <w:p w14:paraId="078D0478" w14:textId="77777777" w:rsidR="00B228DE" w:rsidRPr="00D01837" w:rsidRDefault="00B228DE" w:rsidP="00DF0DAF">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Data rozpoczęcia </w:t>
            </w:r>
          </w:p>
        </w:tc>
        <w:tc>
          <w:tcPr>
            <w:tcW w:w="6946" w:type="dxa"/>
          </w:tcPr>
          <w:p w14:paraId="47F118A8" w14:textId="77777777" w:rsidR="00B228DE" w:rsidRPr="00B228DE" w:rsidRDefault="00B228DE" w:rsidP="00B228DE">
            <w:pPr>
              <w:spacing w:before="144" w:after="144" w:line="240" w:lineRule="auto"/>
              <w:jc w:val="both"/>
              <w:rPr>
                <w:rFonts w:ascii="Times New Roman" w:eastAsia="Times New Roman" w:hAnsi="Times New Roman" w:cs="Times New Roman"/>
                <w:sz w:val="20"/>
                <w:szCs w:val="20"/>
              </w:rPr>
            </w:pPr>
            <w:r w:rsidRPr="00B228DE">
              <w:rPr>
                <w:rFonts w:ascii="Times New Roman" w:eastAsia="Times New Roman" w:hAnsi="Times New Roman" w:cs="Times New Roman"/>
                <w:sz w:val="20"/>
                <w:szCs w:val="20"/>
              </w:rPr>
              <w:t xml:space="preserve">26.05.2022 r. </w:t>
            </w:r>
          </w:p>
        </w:tc>
      </w:tr>
      <w:tr w:rsidR="00B228DE" w:rsidRPr="00D01837" w14:paraId="2613308C" w14:textId="77777777" w:rsidTr="004573FD">
        <w:tc>
          <w:tcPr>
            <w:tcW w:w="2667" w:type="dxa"/>
            <w:shd w:val="clear" w:color="auto" w:fill="F3F3F3"/>
          </w:tcPr>
          <w:p w14:paraId="7D3FE133" w14:textId="77777777" w:rsidR="00B228DE" w:rsidRPr="00D01837" w:rsidRDefault="00B228DE" w:rsidP="00DF0DAF">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Data wydania decyzji o pozwoleniu na użytkowanie</w:t>
            </w:r>
          </w:p>
        </w:tc>
        <w:tc>
          <w:tcPr>
            <w:tcW w:w="6946" w:type="dxa"/>
          </w:tcPr>
          <w:p w14:paraId="16AF6EC5" w14:textId="77777777" w:rsidR="00B228DE" w:rsidRPr="00B228DE" w:rsidRDefault="00B228DE" w:rsidP="00B228DE">
            <w:pPr>
              <w:spacing w:before="144" w:after="144" w:line="240" w:lineRule="auto"/>
              <w:jc w:val="both"/>
              <w:rPr>
                <w:rFonts w:ascii="Times New Roman" w:eastAsia="Times New Roman" w:hAnsi="Times New Roman" w:cs="Times New Roman"/>
                <w:sz w:val="20"/>
                <w:szCs w:val="20"/>
              </w:rPr>
            </w:pPr>
            <w:r w:rsidRPr="00B228DE">
              <w:rPr>
                <w:rFonts w:ascii="Times New Roman" w:eastAsia="Times New Roman" w:hAnsi="Times New Roman" w:cs="Times New Roman"/>
                <w:sz w:val="20"/>
                <w:szCs w:val="20"/>
              </w:rPr>
              <w:t>7A – 25.06.2024 r.</w:t>
            </w:r>
          </w:p>
          <w:p w14:paraId="63393E2D" w14:textId="77777777" w:rsidR="00B228DE" w:rsidRPr="00B228DE" w:rsidRDefault="00B228DE" w:rsidP="00B228DE">
            <w:pPr>
              <w:spacing w:before="144" w:after="144" w:line="240" w:lineRule="auto"/>
              <w:jc w:val="both"/>
              <w:rPr>
                <w:rFonts w:ascii="Times New Roman" w:eastAsia="Times New Roman" w:hAnsi="Times New Roman" w:cs="Times New Roman"/>
                <w:sz w:val="20"/>
                <w:szCs w:val="20"/>
              </w:rPr>
            </w:pPr>
            <w:r w:rsidRPr="00B228DE">
              <w:rPr>
                <w:rFonts w:ascii="Times New Roman" w:eastAsia="Times New Roman" w:hAnsi="Times New Roman" w:cs="Times New Roman"/>
                <w:sz w:val="20"/>
                <w:szCs w:val="20"/>
              </w:rPr>
              <w:t>7B – 01.08.2024 r.</w:t>
            </w:r>
          </w:p>
        </w:tc>
      </w:tr>
    </w:tbl>
    <w:p w14:paraId="493A296D" w14:textId="77777777" w:rsidR="00C36D3E" w:rsidRPr="00D01837" w:rsidRDefault="00C36D3E">
      <w:pPr>
        <w:spacing w:before="144" w:after="144" w:line="240" w:lineRule="auto"/>
        <w:jc w:val="both"/>
        <w:rPr>
          <w:rFonts w:ascii="Times New Roman" w:eastAsia="Times New Roman" w:hAnsi="Times New Roman" w:cs="Times New Roman"/>
          <w:b/>
          <w:sz w:val="16"/>
          <w:szCs w:val="16"/>
        </w:rPr>
      </w:pPr>
    </w:p>
    <w:tbl>
      <w:tblPr>
        <w:tblStyle w:val="a1"/>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6840"/>
      </w:tblGrid>
      <w:tr w:rsidR="00D01837" w:rsidRPr="00D01837" w14:paraId="1D03614B" w14:textId="77777777">
        <w:tc>
          <w:tcPr>
            <w:tcW w:w="2808" w:type="dxa"/>
            <w:shd w:val="clear" w:color="auto" w:fill="F3F3F3"/>
          </w:tcPr>
          <w:p w14:paraId="575407C6" w14:textId="77777777" w:rsidR="00C36D3E" w:rsidRPr="00D01837" w:rsidRDefault="00691959">
            <w:pPr>
              <w:spacing w:before="144" w:after="144" w:line="240" w:lineRule="auto"/>
              <w:jc w:val="both"/>
              <w:rPr>
                <w:rFonts w:ascii="Times New Roman" w:eastAsia="Times New Roman" w:hAnsi="Times New Roman" w:cs="Times New Roman"/>
                <w:b/>
                <w:sz w:val="20"/>
                <w:szCs w:val="20"/>
              </w:rPr>
            </w:pPr>
            <w:r w:rsidRPr="00D01837">
              <w:rPr>
                <w:rFonts w:ascii="Times New Roman" w:eastAsia="Times New Roman" w:hAnsi="Times New Roman" w:cs="Times New Roman"/>
                <w:sz w:val="20"/>
                <w:szCs w:val="20"/>
              </w:rPr>
              <w:t>Czy przeciwko deweloperowi prowadzono lub prowadzi się postępowania egzekucyjne na kwotę powyżej 100 000 zł</w:t>
            </w:r>
          </w:p>
        </w:tc>
        <w:tc>
          <w:tcPr>
            <w:tcW w:w="6840" w:type="dxa"/>
          </w:tcPr>
          <w:p w14:paraId="4DBB1437" w14:textId="77777777" w:rsidR="00C36D3E" w:rsidRPr="00D01837" w:rsidRDefault="00E66E40">
            <w:pPr>
              <w:spacing w:before="144" w:after="144" w:line="240" w:lineRule="auto"/>
              <w:jc w:val="both"/>
              <w:rPr>
                <w:rFonts w:ascii="Times New Roman" w:eastAsia="Times New Roman" w:hAnsi="Times New Roman" w:cs="Times New Roman"/>
                <w:bCs/>
                <w:sz w:val="20"/>
                <w:szCs w:val="20"/>
              </w:rPr>
            </w:pPr>
            <w:r w:rsidRPr="00D01837">
              <w:rPr>
                <w:rFonts w:ascii="Times New Roman" w:eastAsia="Times New Roman" w:hAnsi="Times New Roman" w:cs="Times New Roman"/>
                <w:bCs/>
                <w:sz w:val="20"/>
                <w:szCs w:val="20"/>
              </w:rPr>
              <w:t>Nie</w:t>
            </w:r>
          </w:p>
        </w:tc>
      </w:tr>
    </w:tbl>
    <w:p w14:paraId="25B82F86" w14:textId="77777777" w:rsidR="00C36D3E" w:rsidRDefault="00C36D3E">
      <w:pPr>
        <w:spacing w:before="144" w:after="0" w:line="240" w:lineRule="auto"/>
        <w:jc w:val="both"/>
        <w:rPr>
          <w:rFonts w:ascii="Times New Roman" w:eastAsia="Times New Roman" w:hAnsi="Times New Roman" w:cs="Times New Roman"/>
          <w:b/>
          <w:sz w:val="16"/>
          <w:szCs w:val="16"/>
        </w:rPr>
      </w:pPr>
    </w:p>
    <w:p w14:paraId="2603E0C7" w14:textId="77777777" w:rsidR="004573FD" w:rsidRDefault="004573FD">
      <w:pPr>
        <w:spacing w:before="144" w:after="0" w:line="240" w:lineRule="auto"/>
        <w:jc w:val="both"/>
        <w:rPr>
          <w:rFonts w:ascii="Times New Roman" w:eastAsia="Times New Roman" w:hAnsi="Times New Roman" w:cs="Times New Roman"/>
          <w:b/>
          <w:sz w:val="16"/>
          <w:szCs w:val="16"/>
        </w:rPr>
      </w:pPr>
    </w:p>
    <w:p w14:paraId="7DD2F580" w14:textId="77777777" w:rsidR="004573FD" w:rsidRDefault="004573FD">
      <w:pPr>
        <w:spacing w:before="144" w:after="0" w:line="240" w:lineRule="auto"/>
        <w:jc w:val="both"/>
        <w:rPr>
          <w:rFonts w:ascii="Times New Roman" w:eastAsia="Times New Roman" w:hAnsi="Times New Roman" w:cs="Times New Roman"/>
          <w:b/>
          <w:sz w:val="16"/>
          <w:szCs w:val="16"/>
        </w:rPr>
      </w:pPr>
    </w:p>
    <w:p w14:paraId="21212D15" w14:textId="77777777" w:rsidR="004573FD" w:rsidRDefault="004573FD">
      <w:pPr>
        <w:spacing w:before="144" w:after="0" w:line="240" w:lineRule="auto"/>
        <w:jc w:val="both"/>
        <w:rPr>
          <w:rFonts w:ascii="Times New Roman" w:eastAsia="Times New Roman" w:hAnsi="Times New Roman" w:cs="Times New Roman"/>
          <w:b/>
          <w:sz w:val="16"/>
          <w:szCs w:val="16"/>
        </w:rPr>
      </w:pPr>
    </w:p>
    <w:p w14:paraId="10CB4298" w14:textId="77777777" w:rsidR="004573FD" w:rsidRDefault="004573FD">
      <w:pPr>
        <w:spacing w:before="144" w:after="0" w:line="240" w:lineRule="auto"/>
        <w:jc w:val="both"/>
        <w:rPr>
          <w:rFonts w:ascii="Times New Roman" w:eastAsia="Times New Roman" w:hAnsi="Times New Roman" w:cs="Times New Roman"/>
          <w:b/>
          <w:sz w:val="16"/>
          <w:szCs w:val="16"/>
        </w:rPr>
      </w:pPr>
    </w:p>
    <w:p w14:paraId="60C66B07" w14:textId="77777777" w:rsidR="004573FD" w:rsidRDefault="004573FD">
      <w:pPr>
        <w:spacing w:before="144" w:after="0" w:line="240" w:lineRule="auto"/>
        <w:jc w:val="both"/>
        <w:rPr>
          <w:rFonts w:ascii="Times New Roman" w:eastAsia="Times New Roman" w:hAnsi="Times New Roman" w:cs="Times New Roman"/>
          <w:b/>
          <w:sz w:val="16"/>
          <w:szCs w:val="16"/>
        </w:rPr>
      </w:pPr>
    </w:p>
    <w:p w14:paraId="3704D305" w14:textId="77777777" w:rsidR="004573FD" w:rsidRDefault="004573FD">
      <w:pPr>
        <w:spacing w:before="144" w:after="0" w:line="240" w:lineRule="auto"/>
        <w:jc w:val="both"/>
        <w:rPr>
          <w:rFonts w:ascii="Times New Roman" w:eastAsia="Times New Roman" w:hAnsi="Times New Roman" w:cs="Times New Roman"/>
          <w:b/>
          <w:sz w:val="16"/>
          <w:szCs w:val="16"/>
        </w:rPr>
      </w:pPr>
    </w:p>
    <w:p w14:paraId="4F203ABC" w14:textId="77777777" w:rsidR="004573FD" w:rsidRPr="00D01837" w:rsidRDefault="004573FD">
      <w:pPr>
        <w:spacing w:before="144" w:after="0" w:line="240" w:lineRule="auto"/>
        <w:jc w:val="both"/>
        <w:rPr>
          <w:rFonts w:ascii="Times New Roman" w:eastAsia="Times New Roman" w:hAnsi="Times New Roman" w:cs="Times New Roman"/>
          <w:b/>
          <w:sz w:val="16"/>
          <w:szCs w:val="16"/>
        </w:rPr>
      </w:pPr>
    </w:p>
    <w:p w14:paraId="227A28EC" w14:textId="77777777" w:rsidR="00C36D3E" w:rsidRPr="00D01837" w:rsidRDefault="00691959">
      <w:pPr>
        <w:widowControl w:val="0"/>
        <w:numPr>
          <w:ilvl w:val="0"/>
          <w:numId w:val="4"/>
        </w:numPr>
        <w:spacing w:before="280" w:after="120" w:line="240" w:lineRule="auto"/>
        <w:ind w:left="1077"/>
        <w:jc w:val="both"/>
        <w:rPr>
          <w:rFonts w:ascii="Times New Roman" w:eastAsia="Times New Roman" w:hAnsi="Times New Roman" w:cs="Times New Roman"/>
          <w:b/>
          <w:sz w:val="20"/>
          <w:szCs w:val="20"/>
        </w:rPr>
      </w:pPr>
      <w:r w:rsidRPr="00D01837">
        <w:rPr>
          <w:rFonts w:ascii="Times New Roman" w:eastAsia="Times New Roman" w:hAnsi="Times New Roman" w:cs="Times New Roman"/>
          <w:b/>
          <w:sz w:val="20"/>
          <w:szCs w:val="20"/>
        </w:rPr>
        <w:lastRenderedPageBreak/>
        <w:t>INFORMACJE DOTYCZĄCE NIERUCHOMOŚCI I PRZEDSIĘWZIĘCIA DEWELOPERSKIEGO</w:t>
      </w:r>
    </w:p>
    <w:tbl>
      <w:tblPr>
        <w:tblStyle w:val="a2"/>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0"/>
        <w:gridCol w:w="3419"/>
        <w:gridCol w:w="3419"/>
      </w:tblGrid>
      <w:tr w:rsidR="00D01837" w:rsidRPr="00D01837" w14:paraId="510A39B4" w14:textId="77777777">
        <w:tc>
          <w:tcPr>
            <w:tcW w:w="9648" w:type="dxa"/>
            <w:gridSpan w:val="3"/>
            <w:tcBorders>
              <w:bottom w:val="single" w:sz="4" w:space="0" w:color="000000"/>
            </w:tcBorders>
            <w:shd w:val="clear" w:color="auto" w:fill="E0E0E0"/>
          </w:tcPr>
          <w:p w14:paraId="4380AB6B" w14:textId="77777777" w:rsidR="00C36D3E" w:rsidRPr="00D01837" w:rsidRDefault="00691959">
            <w:pPr>
              <w:spacing w:before="144" w:after="144" w:line="240" w:lineRule="auto"/>
              <w:rPr>
                <w:rFonts w:ascii="Times New Roman" w:eastAsia="Times New Roman" w:hAnsi="Times New Roman" w:cs="Times New Roman"/>
                <w:b/>
                <w:sz w:val="20"/>
                <w:szCs w:val="20"/>
              </w:rPr>
            </w:pPr>
            <w:r w:rsidRPr="00D01837">
              <w:rPr>
                <w:rFonts w:ascii="Times New Roman" w:eastAsia="Times New Roman" w:hAnsi="Times New Roman" w:cs="Times New Roman"/>
                <w:b/>
                <w:sz w:val="20"/>
                <w:szCs w:val="20"/>
              </w:rPr>
              <w:t>INFORMACJE DOTYCZĄCE GRUNTU I ZAGOSPODAROWANIA PRZESTRZENNEGO TERENU</w:t>
            </w:r>
          </w:p>
          <w:p w14:paraId="3A3CFEDD" w14:textId="77777777" w:rsidR="00C36D3E" w:rsidRPr="00D01837" w:rsidRDefault="00C36D3E">
            <w:pPr>
              <w:spacing w:before="144" w:after="144" w:line="240" w:lineRule="auto"/>
              <w:jc w:val="both"/>
              <w:rPr>
                <w:rFonts w:ascii="Times New Roman" w:eastAsia="Times New Roman" w:hAnsi="Times New Roman" w:cs="Times New Roman"/>
                <w:b/>
                <w:sz w:val="20"/>
                <w:szCs w:val="20"/>
              </w:rPr>
            </w:pPr>
          </w:p>
        </w:tc>
      </w:tr>
      <w:tr w:rsidR="00D01837" w:rsidRPr="00D01837" w14:paraId="359E440E" w14:textId="77777777">
        <w:trPr>
          <w:trHeight w:val="135"/>
        </w:trPr>
        <w:tc>
          <w:tcPr>
            <w:tcW w:w="2810" w:type="dxa"/>
            <w:shd w:val="clear" w:color="auto" w:fill="F3F3F3"/>
          </w:tcPr>
          <w:p w14:paraId="10548AEE" w14:textId="77777777" w:rsidR="00C36D3E" w:rsidRPr="00D01837" w:rsidRDefault="00691959" w:rsidP="004F020B">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Adres i numer działki ewidencyjnej i obrębu</w:t>
            </w:r>
          </w:p>
        </w:tc>
        <w:tc>
          <w:tcPr>
            <w:tcW w:w="6838" w:type="dxa"/>
            <w:gridSpan w:val="2"/>
          </w:tcPr>
          <w:p w14:paraId="16628C74" w14:textId="77777777" w:rsidR="00DF0DAF" w:rsidRPr="00D01837" w:rsidRDefault="00DF0DAF" w:rsidP="004573FD">
            <w:pPr>
              <w:spacing w:before="144" w:after="144" w:line="240" w:lineRule="auto"/>
              <w:ind w:left="720"/>
              <w:jc w:val="both"/>
              <w:rPr>
                <w:rFonts w:ascii="Times New Roman" w:eastAsia="Times New Roman" w:hAnsi="Times New Roman" w:cs="Times New Roman"/>
                <w:b/>
                <w:sz w:val="20"/>
                <w:szCs w:val="20"/>
              </w:rPr>
            </w:pPr>
            <w:r w:rsidRPr="00D01837">
              <w:rPr>
                <w:rFonts w:ascii="Times New Roman" w:eastAsia="Times New Roman" w:hAnsi="Times New Roman" w:cs="Times New Roman"/>
                <w:sz w:val="20"/>
                <w:szCs w:val="20"/>
              </w:rPr>
              <w:t xml:space="preserve">Kobyłka ul. </w:t>
            </w:r>
            <w:r w:rsidR="004573FD">
              <w:rPr>
                <w:rFonts w:ascii="Times New Roman" w:eastAsia="Times New Roman" w:hAnsi="Times New Roman" w:cs="Times New Roman"/>
                <w:sz w:val="20"/>
                <w:szCs w:val="20"/>
              </w:rPr>
              <w:t>Mickiewicza</w:t>
            </w:r>
            <w:r w:rsidR="0051644A">
              <w:rPr>
                <w:rFonts w:ascii="Times New Roman" w:eastAsia="Times New Roman" w:hAnsi="Times New Roman" w:cs="Times New Roman"/>
                <w:sz w:val="20"/>
                <w:szCs w:val="20"/>
              </w:rPr>
              <w:t xml:space="preserve"> </w:t>
            </w:r>
            <w:r w:rsidR="00856A09">
              <w:rPr>
                <w:rFonts w:ascii="Times New Roman" w:eastAsia="Times New Roman" w:hAnsi="Times New Roman" w:cs="Times New Roman"/>
                <w:sz w:val="20"/>
                <w:szCs w:val="20"/>
              </w:rPr>
              <w:t>37, 37A, 37B, 37C, 37D, 37E, 37F, 37G, 37H, 37J, 37K, 37L</w:t>
            </w:r>
            <w:r w:rsidRPr="00D01837">
              <w:rPr>
                <w:rFonts w:ascii="Times New Roman" w:eastAsia="Times New Roman" w:hAnsi="Times New Roman" w:cs="Times New Roman"/>
                <w:sz w:val="20"/>
                <w:szCs w:val="20"/>
              </w:rPr>
              <w:t xml:space="preserve"> dz. ew. nr </w:t>
            </w:r>
            <w:r w:rsidR="004573FD">
              <w:rPr>
                <w:rFonts w:ascii="Times New Roman" w:eastAsia="Times New Roman" w:hAnsi="Times New Roman" w:cs="Times New Roman"/>
                <w:bCs/>
                <w:sz w:val="20"/>
                <w:szCs w:val="20"/>
              </w:rPr>
              <w:t xml:space="preserve">67 </w:t>
            </w:r>
            <w:proofErr w:type="spellStart"/>
            <w:r w:rsidRPr="00D01837">
              <w:rPr>
                <w:rFonts w:ascii="Times New Roman" w:eastAsia="Times New Roman" w:hAnsi="Times New Roman" w:cs="Times New Roman"/>
                <w:bCs/>
                <w:sz w:val="20"/>
                <w:szCs w:val="20"/>
              </w:rPr>
              <w:t>obr</w:t>
            </w:r>
            <w:proofErr w:type="spellEnd"/>
            <w:r w:rsidRPr="00D01837">
              <w:rPr>
                <w:rFonts w:ascii="Times New Roman" w:eastAsia="Times New Roman" w:hAnsi="Times New Roman" w:cs="Times New Roman"/>
                <w:bCs/>
                <w:sz w:val="20"/>
                <w:szCs w:val="20"/>
              </w:rPr>
              <w:t xml:space="preserve">. </w:t>
            </w:r>
            <w:r w:rsidR="004573FD">
              <w:rPr>
                <w:rFonts w:ascii="Times New Roman" w:eastAsia="Times New Roman" w:hAnsi="Times New Roman" w:cs="Times New Roman"/>
                <w:bCs/>
                <w:sz w:val="20"/>
                <w:szCs w:val="20"/>
              </w:rPr>
              <w:t>06</w:t>
            </w:r>
          </w:p>
          <w:p w14:paraId="5DB2F643" w14:textId="77777777" w:rsidR="00C36D3E" w:rsidRPr="00D01837" w:rsidRDefault="00C36D3E" w:rsidP="00DF0DAF">
            <w:pPr>
              <w:spacing w:before="144" w:after="144" w:line="240" w:lineRule="auto"/>
              <w:jc w:val="both"/>
              <w:rPr>
                <w:rFonts w:ascii="Times New Roman" w:eastAsia="Times New Roman" w:hAnsi="Times New Roman" w:cs="Times New Roman"/>
                <w:sz w:val="20"/>
                <w:szCs w:val="20"/>
              </w:rPr>
            </w:pPr>
          </w:p>
        </w:tc>
      </w:tr>
      <w:tr w:rsidR="00D01837" w:rsidRPr="00D01837" w14:paraId="0C564B92" w14:textId="77777777">
        <w:trPr>
          <w:trHeight w:val="98"/>
        </w:trPr>
        <w:tc>
          <w:tcPr>
            <w:tcW w:w="2810" w:type="dxa"/>
            <w:shd w:val="clear" w:color="auto" w:fill="F3F3F3"/>
          </w:tcPr>
          <w:p w14:paraId="13A58D27" w14:textId="77777777" w:rsidR="00C36D3E" w:rsidRPr="00D01837" w:rsidRDefault="00691959">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Numer księgi wieczystej </w:t>
            </w:r>
          </w:p>
        </w:tc>
        <w:tc>
          <w:tcPr>
            <w:tcW w:w="6838" w:type="dxa"/>
            <w:gridSpan w:val="2"/>
            <w:shd w:val="clear" w:color="auto" w:fill="auto"/>
          </w:tcPr>
          <w:p w14:paraId="5124D042" w14:textId="77777777" w:rsidR="00C36D3E" w:rsidRPr="007B2D32" w:rsidRDefault="00DF0DAF" w:rsidP="007B2D32">
            <w:pPr>
              <w:spacing w:before="144" w:after="144" w:line="240" w:lineRule="auto"/>
              <w:jc w:val="both"/>
              <w:rPr>
                <w:rFonts w:ascii="Times New Roman" w:eastAsia="Times New Roman" w:hAnsi="Times New Roman" w:cs="Times New Roman"/>
                <w:color w:val="00B050"/>
                <w:sz w:val="20"/>
                <w:szCs w:val="20"/>
              </w:rPr>
            </w:pPr>
            <w:r w:rsidRPr="007B2D32">
              <w:rPr>
                <w:rFonts w:ascii="Times New Roman" w:eastAsia="Times New Roman" w:hAnsi="Times New Roman" w:cs="Times New Roman"/>
                <w:bCs/>
                <w:color w:val="00B050"/>
                <w:sz w:val="20"/>
                <w:szCs w:val="20"/>
              </w:rPr>
              <w:t>WA1W/</w:t>
            </w:r>
            <w:r w:rsidR="007B2D32" w:rsidRPr="007B2D32">
              <w:rPr>
                <w:rFonts w:ascii="Times New Roman" w:eastAsia="Times New Roman" w:hAnsi="Times New Roman" w:cs="Times New Roman"/>
                <w:bCs/>
                <w:color w:val="00B050"/>
                <w:sz w:val="20"/>
                <w:szCs w:val="20"/>
              </w:rPr>
              <w:t>00169227/1</w:t>
            </w:r>
          </w:p>
        </w:tc>
      </w:tr>
      <w:tr w:rsidR="00D01837" w:rsidRPr="00D01837" w14:paraId="0CF9A29A" w14:textId="77777777">
        <w:trPr>
          <w:trHeight w:val="98"/>
        </w:trPr>
        <w:tc>
          <w:tcPr>
            <w:tcW w:w="2810" w:type="dxa"/>
            <w:shd w:val="clear" w:color="auto" w:fill="F3F3F3"/>
          </w:tcPr>
          <w:p w14:paraId="659DE07A" w14:textId="77777777" w:rsidR="00C36D3E" w:rsidRPr="00D01837" w:rsidRDefault="00691959">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Istniejące obciążenia hipoteczne nieruchomości lub wnioski o wpis w dziale czwartym księgi wieczystej</w:t>
            </w:r>
          </w:p>
        </w:tc>
        <w:tc>
          <w:tcPr>
            <w:tcW w:w="6838" w:type="dxa"/>
            <w:gridSpan w:val="2"/>
            <w:shd w:val="clear" w:color="auto" w:fill="auto"/>
          </w:tcPr>
          <w:p w14:paraId="74B98A40" w14:textId="77777777" w:rsidR="00C36D3E" w:rsidRPr="00D01837" w:rsidRDefault="0018748D">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Brak obciążeń</w:t>
            </w:r>
          </w:p>
        </w:tc>
      </w:tr>
      <w:tr w:rsidR="00D01837" w:rsidRPr="00D01837" w14:paraId="692DC0CD" w14:textId="77777777">
        <w:trPr>
          <w:trHeight w:val="97"/>
        </w:trPr>
        <w:tc>
          <w:tcPr>
            <w:tcW w:w="2810" w:type="dxa"/>
            <w:shd w:val="clear" w:color="auto" w:fill="F3F3F3"/>
          </w:tcPr>
          <w:p w14:paraId="5FDFB068" w14:textId="77777777" w:rsidR="00C36D3E" w:rsidRPr="00D01837" w:rsidRDefault="00691959" w:rsidP="004F020B">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 przypadku braku księgi wieczystej informacja o powierzchni działki i stanie prawnym nieruchomości</w:t>
            </w:r>
          </w:p>
        </w:tc>
        <w:tc>
          <w:tcPr>
            <w:tcW w:w="6838" w:type="dxa"/>
            <w:gridSpan w:val="2"/>
            <w:shd w:val="clear" w:color="auto" w:fill="auto"/>
          </w:tcPr>
          <w:p w14:paraId="237F640B" w14:textId="77777777" w:rsidR="00C36D3E" w:rsidRPr="00D01837" w:rsidRDefault="006672E0">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Nie dotyczy</w:t>
            </w:r>
          </w:p>
        </w:tc>
      </w:tr>
      <w:tr w:rsidR="00D01837" w:rsidRPr="00D01837" w14:paraId="5CA1000C" w14:textId="77777777">
        <w:trPr>
          <w:trHeight w:val="97"/>
        </w:trPr>
        <w:tc>
          <w:tcPr>
            <w:tcW w:w="2810" w:type="dxa"/>
            <w:shd w:val="clear" w:color="auto" w:fill="F3F3F3"/>
          </w:tcPr>
          <w:p w14:paraId="1B4A6B44" w14:textId="77777777" w:rsidR="00C36D3E" w:rsidRPr="00D01837" w:rsidRDefault="00691959">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Informacje dotyczące obiektów istniejących położonych w sąsiedztwie inwestycji i wpływających na warunki życia</w:t>
            </w:r>
          </w:p>
          <w:p w14:paraId="1101CDAC" w14:textId="77777777" w:rsidR="00C36D3E" w:rsidRPr="00D01837" w:rsidRDefault="00C36D3E">
            <w:pPr>
              <w:spacing w:before="144" w:after="144" w:line="240" w:lineRule="auto"/>
              <w:jc w:val="both"/>
              <w:rPr>
                <w:rFonts w:ascii="Times New Roman" w:eastAsia="Times New Roman" w:hAnsi="Times New Roman" w:cs="Times New Roman"/>
                <w:sz w:val="20"/>
                <w:szCs w:val="20"/>
              </w:rPr>
            </w:pPr>
          </w:p>
        </w:tc>
        <w:tc>
          <w:tcPr>
            <w:tcW w:w="6838" w:type="dxa"/>
            <w:gridSpan w:val="2"/>
            <w:shd w:val="clear" w:color="auto" w:fill="auto"/>
          </w:tcPr>
          <w:p w14:paraId="0D3BFB48" w14:textId="77777777" w:rsidR="00DF0DAF" w:rsidRPr="00D01837" w:rsidRDefault="00DF0DAF" w:rsidP="00DF0DAF">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W promieniu 1 km planowane są następujące publiczne inwestycje gminne:         </w:t>
            </w:r>
          </w:p>
          <w:p w14:paraId="5123AAAF" w14:textId="77777777" w:rsidR="00570CF5" w:rsidRPr="004F020B" w:rsidRDefault="00705981" w:rsidP="00570CF5">
            <w:pPr>
              <w:pStyle w:val="Akapitzlist"/>
              <w:numPr>
                <w:ilvl w:val="0"/>
                <w:numId w:val="8"/>
              </w:numPr>
              <w:spacing w:before="144" w:after="144" w:line="240" w:lineRule="auto"/>
              <w:rPr>
                <w:rFonts w:ascii="Times New Roman" w:eastAsia="Times New Roman" w:hAnsi="Times New Roman" w:cs="Times New Roman"/>
                <w:color w:val="00B050"/>
                <w:sz w:val="20"/>
                <w:szCs w:val="20"/>
              </w:rPr>
            </w:pPr>
            <w:r w:rsidRPr="004F020B">
              <w:rPr>
                <w:rFonts w:ascii="Times New Roman" w:eastAsia="Times New Roman" w:hAnsi="Times New Roman" w:cs="Times New Roman"/>
                <w:color w:val="00B050"/>
                <w:sz w:val="20"/>
                <w:szCs w:val="20"/>
              </w:rPr>
              <w:t>2024 r.  przebudowa drogi polegającej na budowie chodnika w ul. Przyjacielskiej i wyniesionego doświetlonego przejścia dla pieszych w pasie drogowym ul. Przyjacielskiej róg Wołodyjowskiego;</w:t>
            </w:r>
          </w:p>
          <w:p w14:paraId="6057D7E2" w14:textId="77777777" w:rsidR="00705981" w:rsidRPr="004F020B" w:rsidRDefault="00705981" w:rsidP="00570CF5">
            <w:pPr>
              <w:pStyle w:val="Akapitzlist"/>
              <w:numPr>
                <w:ilvl w:val="0"/>
                <w:numId w:val="8"/>
              </w:numPr>
              <w:spacing w:before="144" w:after="144" w:line="240" w:lineRule="auto"/>
              <w:rPr>
                <w:rFonts w:ascii="Times New Roman" w:eastAsia="Times New Roman" w:hAnsi="Times New Roman" w:cs="Times New Roman"/>
                <w:color w:val="00B050"/>
                <w:sz w:val="20"/>
                <w:szCs w:val="20"/>
              </w:rPr>
            </w:pPr>
            <w:r w:rsidRPr="004F020B">
              <w:rPr>
                <w:rFonts w:ascii="Times New Roman" w:eastAsia="Times New Roman" w:hAnsi="Times New Roman" w:cs="Times New Roman"/>
                <w:color w:val="00B050"/>
                <w:sz w:val="20"/>
                <w:szCs w:val="20"/>
              </w:rPr>
              <w:t>2024 r. budowa oświetlenia w ul. Olszewskiego;</w:t>
            </w:r>
          </w:p>
          <w:p w14:paraId="2501F0EA" w14:textId="77777777" w:rsidR="00705981" w:rsidRPr="004F020B" w:rsidRDefault="00705981" w:rsidP="00570CF5">
            <w:pPr>
              <w:pStyle w:val="Akapitzlist"/>
              <w:numPr>
                <w:ilvl w:val="0"/>
                <w:numId w:val="8"/>
              </w:numPr>
              <w:spacing w:before="144" w:after="144" w:line="240" w:lineRule="auto"/>
              <w:rPr>
                <w:rFonts w:ascii="Times New Roman" w:eastAsia="Times New Roman" w:hAnsi="Times New Roman" w:cs="Times New Roman"/>
                <w:color w:val="00B050"/>
                <w:sz w:val="20"/>
                <w:szCs w:val="20"/>
              </w:rPr>
            </w:pPr>
            <w:r w:rsidRPr="004F020B">
              <w:rPr>
                <w:rFonts w:ascii="Times New Roman" w:eastAsia="Times New Roman" w:hAnsi="Times New Roman" w:cs="Times New Roman"/>
                <w:color w:val="00B050"/>
                <w:sz w:val="20"/>
                <w:szCs w:val="20"/>
              </w:rPr>
              <w:t>2025 r. budowa oświetlenia w ul. Krzywej;</w:t>
            </w:r>
          </w:p>
          <w:p w14:paraId="5684057E" w14:textId="77777777" w:rsidR="00705981" w:rsidRPr="004F020B" w:rsidRDefault="00705981" w:rsidP="00570CF5">
            <w:pPr>
              <w:pStyle w:val="Akapitzlist"/>
              <w:numPr>
                <w:ilvl w:val="0"/>
                <w:numId w:val="8"/>
              </w:numPr>
              <w:spacing w:before="144" w:after="144" w:line="240" w:lineRule="auto"/>
              <w:rPr>
                <w:rFonts w:ascii="Times New Roman" w:eastAsia="Times New Roman" w:hAnsi="Times New Roman" w:cs="Times New Roman"/>
                <w:color w:val="00B050"/>
                <w:sz w:val="20"/>
                <w:szCs w:val="20"/>
              </w:rPr>
            </w:pPr>
            <w:r w:rsidRPr="004F020B">
              <w:rPr>
                <w:rFonts w:ascii="Times New Roman" w:eastAsia="Times New Roman" w:hAnsi="Times New Roman" w:cs="Times New Roman"/>
                <w:color w:val="00B050"/>
                <w:sz w:val="20"/>
                <w:szCs w:val="20"/>
              </w:rPr>
              <w:t>2026 r. budowa oświetlenia w ul. Kmicica;</w:t>
            </w:r>
          </w:p>
          <w:p w14:paraId="21D38D5D" w14:textId="77777777" w:rsidR="00705981" w:rsidRPr="004F020B" w:rsidRDefault="00705981" w:rsidP="00570CF5">
            <w:pPr>
              <w:pStyle w:val="Akapitzlist"/>
              <w:numPr>
                <w:ilvl w:val="0"/>
                <w:numId w:val="8"/>
              </w:numPr>
              <w:spacing w:before="144" w:after="144" w:line="240" w:lineRule="auto"/>
              <w:rPr>
                <w:rFonts w:ascii="Times New Roman" w:eastAsia="Times New Roman" w:hAnsi="Times New Roman" w:cs="Times New Roman"/>
                <w:color w:val="00B050"/>
                <w:sz w:val="20"/>
                <w:szCs w:val="20"/>
              </w:rPr>
            </w:pPr>
            <w:r w:rsidRPr="004F020B">
              <w:rPr>
                <w:rFonts w:ascii="Times New Roman" w:eastAsia="Times New Roman" w:hAnsi="Times New Roman" w:cs="Times New Roman"/>
                <w:color w:val="00B050"/>
                <w:sz w:val="20"/>
                <w:szCs w:val="20"/>
              </w:rPr>
              <w:t>2028 r. budowa drogi w ul. Niecałej</w:t>
            </w:r>
          </w:p>
          <w:p w14:paraId="4BE2F36A" w14:textId="77777777" w:rsidR="00C36D3E" w:rsidRPr="00D01837" w:rsidRDefault="00C36D3E" w:rsidP="00570CF5">
            <w:pPr>
              <w:spacing w:before="144" w:after="144" w:line="240" w:lineRule="auto"/>
              <w:rPr>
                <w:rFonts w:ascii="Times New Roman" w:eastAsia="Times New Roman" w:hAnsi="Times New Roman" w:cs="Times New Roman"/>
                <w:sz w:val="20"/>
                <w:szCs w:val="20"/>
              </w:rPr>
            </w:pPr>
          </w:p>
        </w:tc>
      </w:tr>
      <w:tr w:rsidR="00E50124" w:rsidRPr="00D01837" w14:paraId="0BF0A525" w14:textId="77777777" w:rsidTr="00321EB2">
        <w:trPr>
          <w:trHeight w:val="851"/>
        </w:trPr>
        <w:tc>
          <w:tcPr>
            <w:tcW w:w="2810" w:type="dxa"/>
            <w:vMerge w:val="restart"/>
            <w:shd w:val="clear" w:color="auto" w:fill="F3F3F3"/>
          </w:tcPr>
          <w:p w14:paraId="278BC4B2" w14:textId="77777777" w:rsidR="00E50124" w:rsidRPr="00D01837" w:rsidRDefault="00E50124" w:rsidP="004F020B">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Akty</w:t>
            </w:r>
            <w:r>
              <w:rPr>
                <w:rFonts w:ascii="Times New Roman" w:eastAsia="Times New Roman" w:hAnsi="Times New Roman" w:cs="Times New Roman"/>
                <w:sz w:val="20"/>
                <w:szCs w:val="20"/>
              </w:rPr>
              <w:t xml:space="preserve"> </w:t>
            </w:r>
            <w:r w:rsidRPr="00D01837">
              <w:rPr>
                <w:rFonts w:ascii="Times New Roman" w:eastAsia="Times New Roman" w:hAnsi="Times New Roman" w:cs="Times New Roman"/>
                <w:sz w:val="20"/>
                <w:szCs w:val="20"/>
              </w:rPr>
              <w:t>planowania przestrzennego i inne akty prawne na podstawie przepisów odrębnych na terenie objętym przedsięwzięciem deweloperskim lub zadaniem inwestycyjnym</w:t>
            </w:r>
          </w:p>
          <w:p w14:paraId="3805AF90" w14:textId="77777777" w:rsidR="00E50124" w:rsidRPr="00D01837" w:rsidRDefault="00E50124">
            <w:pPr>
              <w:spacing w:before="144" w:after="144" w:line="240" w:lineRule="auto"/>
              <w:jc w:val="both"/>
              <w:rPr>
                <w:rFonts w:ascii="Times New Roman" w:eastAsia="Times New Roman" w:hAnsi="Times New Roman" w:cs="Times New Roman"/>
                <w:sz w:val="20"/>
                <w:szCs w:val="20"/>
              </w:rPr>
            </w:pPr>
          </w:p>
        </w:tc>
        <w:tc>
          <w:tcPr>
            <w:tcW w:w="3419" w:type="dxa"/>
            <w:shd w:val="clear" w:color="auto" w:fill="auto"/>
          </w:tcPr>
          <w:p w14:paraId="4D2D0B6B" w14:textId="77777777" w:rsidR="00E50124" w:rsidRPr="00D01837" w:rsidRDefault="00E50124" w:rsidP="004F020B">
            <w:pPr>
              <w:spacing w:before="144" w:after="144" w:line="240" w:lineRule="auto"/>
              <w:rPr>
                <w:rFonts w:ascii="Times New Roman" w:eastAsia="Times New Roman" w:hAnsi="Times New Roman" w:cs="Times New Roman"/>
                <w:sz w:val="20"/>
                <w:szCs w:val="20"/>
              </w:rPr>
            </w:pPr>
            <w:r w:rsidRPr="004F020B">
              <w:rPr>
                <w:rFonts w:ascii="Times New Roman" w:eastAsia="Times New Roman" w:hAnsi="Times New Roman" w:cs="Times New Roman"/>
                <w:sz w:val="20"/>
                <w:szCs w:val="20"/>
              </w:rPr>
              <w:t>Plan ogólny gminy</w:t>
            </w:r>
          </w:p>
        </w:tc>
        <w:tc>
          <w:tcPr>
            <w:tcW w:w="3419" w:type="dxa"/>
            <w:tcBorders>
              <w:top w:val="single" w:sz="4" w:space="0" w:color="auto"/>
            </w:tcBorders>
            <w:shd w:val="clear" w:color="auto" w:fill="auto"/>
          </w:tcPr>
          <w:p w14:paraId="4ACBEA84" w14:textId="04F2E3D2" w:rsidR="00E50124" w:rsidRPr="00E50124" w:rsidRDefault="00E50124" w:rsidP="00E50124">
            <w:pPr>
              <w:spacing w:before="144" w:after="144" w:line="240" w:lineRule="auto"/>
              <w:rPr>
                <w:rFonts w:ascii="Times New Roman" w:eastAsia="Times New Roman" w:hAnsi="Times New Roman" w:cs="Times New Roman"/>
                <w:color w:val="00B050"/>
                <w:sz w:val="20"/>
                <w:szCs w:val="20"/>
              </w:rPr>
            </w:pPr>
            <w:r w:rsidRPr="00E50124">
              <w:rPr>
                <w:rFonts w:ascii="Times New Roman" w:eastAsia="Times New Roman" w:hAnsi="Times New Roman" w:cs="Times New Roman"/>
                <w:color w:val="00B050"/>
                <w:sz w:val="20"/>
                <w:szCs w:val="20"/>
              </w:rPr>
              <w:t>UCHWAŁA NR XXXIX/323/2021</w:t>
            </w:r>
            <w:r>
              <w:rPr>
                <w:rFonts w:ascii="Times New Roman" w:eastAsia="Times New Roman" w:hAnsi="Times New Roman" w:cs="Times New Roman"/>
                <w:color w:val="00B050"/>
                <w:sz w:val="20"/>
                <w:szCs w:val="20"/>
              </w:rPr>
              <w:t xml:space="preserve"> </w:t>
            </w:r>
            <w:r w:rsidRPr="00E50124">
              <w:rPr>
                <w:rFonts w:ascii="Times New Roman" w:eastAsia="Times New Roman" w:hAnsi="Times New Roman" w:cs="Times New Roman"/>
                <w:color w:val="00B050"/>
                <w:sz w:val="20"/>
                <w:szCs w:val="20"/>
              </w:rPr>
              <w:t>RADY MIASTA KOBYŁKA</w:t>
            </w:r>
            <w:r>
              <w:rPr>
                <w:rFonts w:ascii="Times New Roman" w:eastAsia="Times New Roman" w:hAnsi="Times New Roman" w:cs="Times New Roman"/>
                <w:color w:val="00B050"/>
                <w:sz w:val="20"/>
                <w:szCs w:val="20"/>
              </w:rPr>
              <w:t xml:space="preserve"> </w:t>
            </w:r>
            <w:r w:rsidRPr="00E50124">
              <w:rPr>
                <w:rFonts w:ascii="Times New Roman" w:eastAsia="Times New Roman" w:hAnsi="Times New Roman" w:cs="Times New Roman"/>
                <w:color w:val="00B050"/>
                <w:sz w:val="20"/>
                <w:szCs w:val="20"/>
              </w:rPr>
              <w:t>z dnia 23 sierpnia 2021 r.</w:t>
            </w:r>
            <w:r>
              <w:rPr>
                <w:rFonts w:ascii="Times New Roman" w:eastAsia="Times New Roman" w:hAnsi="Times New Roman" w:cs="Times New Roman"/>
                <w:color w:val="00B050"/>
                <w:sz w:val="20"/>
                <w:szCs w:val="20"/>
              </w:rPr>
              <w:t xml:space="preserve"> </w:t>
            </w:r>
            <w:r w:rsidRPr="00E50124">
              <w:rPr>
                <w:rFonts w:ascii="Times New Roman" w:eastAsia="Times New Roman" w:hAnsi="Times New Roman" w:cs="Times New Roman"/>
                <w:color w:val="00B050"/>
                <w:sz w:val="20"/>
                <w:szCs w:val="20"/>
              </w:rPr>
              <w:t>w sprawie uchwalenia Studium uwarunkowań i kierunków zagospodarowania przestrzennego Miasta</w:t>
            </w:r>
            <w:r>
              <w:rPr>
                <w:rFonts w:ascii="Times New Roman" w:eastAsia="Times New Roman" w:hAnsi="Times New Roman" w:cs="Times New Roman"/>
                <w:color w:val="00B050"/>
                <w:sz w:val="20"/>
                <w:szCs w:val="20"/>
              </w:rPr>
              <w:t xml:space="preserve"> </w:t>
            </w:r>
            <w:r w:rsidRPr="00E50124">
              <w:rPr>
                <w:rFonts w:ascii="Times New Roman" w:eastAsia="Times New Roman" w:hAnsi="Times New Roman" w:cs="Times New Roman"/>
                <w:color w:val="00B050"/>
                <w:sz w:val="20"/>
                <w:szCs w:val="20"/>
              </w:rPr>
              <w:t>Kobyłka</w:t>
            </w:r>
          </w:p>
        </w:tc>
      </w:tr>
      <w:tr w:rsidR="00E50124" w:rsidRPr="00D01837" w14:paraId="5F5479D9" w14:textId="77777777" w:rsidTr="00321EB2">
        <w:trPr>
          <w:trHeight w:val="1454"/>
        </w:trPr>
        <w:tc>
          <w:tcPr>
            <w:tcW w:w="2810" w:type="dxa"/>
            <w:vMerge/>
            <w:shd w:val="clear" w:color="auto" w:fill="F3F3F3"/>
          </w:tcPr>
          <w:p w14:paraId="29FC3217" w14:textId="77777777" w:rsidR="00E50124" w:rsidRPr="00D01837" w:rsidRDefault="00E5012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4B1A784B" w14:textId="77777777" w:rsidR="00E50124" w:rsidRPr="004F020B" w:rsidRDefault="00E50124" w:rsidP="004F020B">
            <w:pPr>
              <w:spacing w:after="0" w:line="240" w:lineRule="auto"/>
              <w:rPr>
                <w:rFonts w:ascii="Times New Roman" w:eastAsia="Times New Roman" w:hAnsi="Times New Roman" w:cs="Times New Roman"/>
                <w:sz w:val="20"/>
                <w:szCs w:val="20"/>
              </w:rPr>
            </w:pPr>
            <w:r w:rsidRPr="004F020B">
              <w:rPr>
                <w:rFonts w:ascii="Times New Roman" w:eastAsia="Times New Roman" w:hAnsi="Times New Roman" w:cs="Times New Roman"/>
                <w:sz w:val="20"/>
                <w:szCs w:val="20"/>
              </w:rPr>
              <w:t xml:space="preserve">Miejscowy plan </w:t>
            </w:r>
          </w:p>
          <w:p w14:paraId="5185AA37" w14:textId="77777777" w:rsidR="00E50124" w:rsidRPr="004F020B" w:rsidRDefault="00E50124" w:rsidP="004F020B">
            <w:pPr>
              <w:spacing w:after="0" w:line="240" w:lineRule="auto"/>
              <w:rPr>
                <w:rFonts w:ascii="Times New Roman" w:eastAsia="Times New Roman" w:hAnsi="Times New Roman" w:cs="Times New Roman"/>
                <w:sz w:val="20"/>
                <w:szCs w:val="20"/>
              </w:rPr>
            </w:pPr>
            <w:r w:rsidRPr="004F020B">
              <w:rPr>
                <w:rFonts w:ascii="Times New Roman" w:eastAsia="Times New Roman" w:hAnsi="Times New Roman" w:cs="Times New Roman"/>
                <w:sz w:val="20"/>
                <w:szCs w:val="20"/>
              </w:rPr>
              <w:t xml:space="preserve">zagospodarowania </w:t>
            </w:r>
          </w:p>
          <w:p w14:paraId="0FDFD913" w14:textId="77777777" w:rsidR="00E50124" w:rsidRPr="00D01837" w:rsidRDefault="00E50124" w:rsidP="004F020B">
            <w:pPr>
              <w:spacing w:after="0" w:line="240" w:lineRule="auto"/>
              <w:rPr>
                <w:rFonts w:ascii="Times New Roman" w:eastAsia="Times New Roman" w:hAnsi="Times New Roman" w:cs="Times New Roman"/>
                <w:sz w:val="20"/>
                <w:szCs w:val="20"/>
              </w:rPr>
            </w:pPr>
            <w:r w:rsidRPr="004F020B">
              <w:rPr>
                <w:rFonts w:ascii="Times New Roman" w:eastAsia="Times New Roman" w:hAnsi="Times New Roman" w:cs="Times New Roman"/>
                <w:sz w:val="20"/>
                <w:szCs w:val="20"/>
              </w:rPr>
              <w:t>przestrzennego</w:t>
            </w:r>
          </w:p>
        </w:tc>
        <w:tc>
          <w:tcPr>
            <w:tcW w:w="3419" w:type="dxa"/>
            <w:tcBorders>
              <w:bottom w:val="single" w:sz="4" w:space="0" w:color="auto"/>
            </w:tcBorders>
            <w:shd w:val="clear" w:color="auto" w:fill="auto"/>
          </w:tcPr>
          <w:p w14:paraId="19976042" w14:textId="4AAB0C7A" w:rsidR="00E50124" w:rsidRPr="00D01837" w:rsidRDefault="00E5012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sidRPr="004F020B">
              <w:rPr>
                <w:rFonts w:ascii="Times New Roman" w:eastAsia="Times New Roman" w:hAnsi="Times New Roman" w:cs="Times New Roman"/>
                <w:color w:val="00B050"/>
                <w:sz w:val="20"/>
                <w:szCs w:val="20"/>
              </w:rPr>
              <w:t>Uchwała Rady Miasta w Kobył</w:t>
            </w:r>
            <w:r>
              <w:rPr>
                <w:rFonts w:ascii="Times New Roman" w:eastAsia="Times New Roman" w:hAnsi="Times New Roman" w:cs="Times New Roman"/>
                <w:color w:val="00B050"/>
                <w:sz w:val="20"/>
                <w:szCs w:val="20"/>
              </w:rPr>
              <w:t xml:space="preserve">ce nr XVI/172/04 z dnia </w:t>
            </w:r>
            <w:r w:rsidRPr="004F020B">
              <w:rPr>
                <w:rFonts w:ascii="Times New Roman" w:eastAsia="Times New Roman" w:hAnsi="Times New Roman" w:cs="Times New Roman"/>
                <w:color w:val="00B050"/>
                <w:sz w:val="20"/>
                <w:szCs w:val="20"/>
              </w:rPr>
              <w:t>15</w:t>
            </w:r>
            <w:r>
              <w:rPr>
                <w:rFonts w:ascii="Times New Roman" w:eastAsia="Times New Roman" w:hAnsi="Times New Roman" w:cs="Times New Roman"/>
                <w:color w:val="00B050"/>
                <w:sz w:val="20"/>
                <w:szCs w:val="20"/>
              </w:rPr>
              <w:t xml:space="preserve">.01.2004 r. </w:t>
            </w:r>
            <w:r w:rsidRPr="004F020B">
              <w:rPr>
                <w:rFonts w:ascii="Times New Roman" w:eastAsia="Times New Roman" w:hAnsi="Times New Roman" w:cs="Times New Roman"/>
                <w:color w:val="00B050"/>
                <w:sz w:val="20"/>
                <w:szCs w:val="20"/>
              </w:rPr>
              <w:t xml:space="preserve"> w sprawie miejscowego planu zagospodarowania przestrzennego północnej części miasta Kobyłka ogłoszona w Dzienniku Urzędowym Województwa Mazowieckiego nr 25 z dnia 2004.02.06, poz. 835</w:t>
            </w:r>
          </w:p>
        </w:tc>
      </w:tr>
      <w:tr w:rsidR="00D01837" w:rsidRPr="00D01837" w14:paraId="4CF46C35" w14:textId="77777777" w:rsidTr="00321EB2">
        <w:trPr>
          <w:trHeight w:val="927"/>
        </w:trPr>
        <w:tc>
          <w:tcPr>
            <w:tcW w:w="2810" w:type="dxa"/>
            <w:vMerge/>
            <w:shd w:val="clear" w:color="auto" w:fill="F3F3F3"/>
          </w:tcPr>
          <w:p w14:paraId="46D36AAD" w14:textId="77777777" w:rsidR="00C36D3E" w:rsidRPr="00D01837" w:rsidRDefault="00C36D3E">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37B03774" w14:textId="77777777" w:rsidR="00C36D3E" w:rsidRPr="00D01837" w:rsidRDefault="004F020B" w:rsidP="004F020B">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Miejscowy plan odbudowy</w:t>
            </w:r>
          </w:p>
        </w:tc>
        <w:tc>
          <w:tcPr>
            <w:tcW w:w="3419" w:type="dxa"/>
            <w:tcBorders>
              <w:top w:val="single" w:sz="4" w:space="0" w:color="auto"/>
              <w:bottom w:val="single" w:sz="4" w:space="0" w:color="auto"/>
            </w:tcBorders>
            <w:shd w:val="clear" w:color="auto" w:fill="auto"/>
          </w:tcPr>
          <w:p w14:paraId="7E4C375A" w14:textId="77777777" w:rsidR="00C36D3E" w:rsidRPr="00D01837" w:rsidRDefault="00F117A4" w:rsidP="00631BA7">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4F020B" w:rsidRPr="00D01837" w14:paraId="4930CE2F" w14:textId="77777777" w:rsidTr="00321EB2">
        <w:trPr>
          <w:trHeight w:val="836"/>
        </w:trPr>
        <w:tc>
          <w:tcPr>
            <w:tcW w:w="2810" w:type="dxa"/>
            <w:vMerge/>
            <w:shd w:val="clear" w:color="auto" w:fill="F3F3F3"/>
          </w:tcPr>
          <w:p w14:paraId="57E8187A" w14:textId="77777777" w:rsidR="004F020B" w:rsidRPr="00D01837" w:rsidRDefault="004F020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7DFFD762" w14:textId="77777777" w:rsidR="004F020B" w:rsidRPr="00D01837" w:rsidRDefault="004F020B" w:rsidP="004F020B">
            <w:pPr>
              <w:spacing w:before="144"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Inne </w:t>
            </w:r>
          </w:p>
        </w:tc>
        <w:tc>
          <w:tcPr>
            <w:tcW w:w="3419" w:type="dxa"/>
            <w:tcBorders>
              <w:top w:val="single" w:sz="4" w:space="0" w:color="auto"/>
            </w:tcBorders>
            <w:shd w:val="clear" w:color="auto" w:fill="auto"/>
          </w:tcPr>
          <w:p w14:paraId="5AF6CD5A" w14:textId="77777777" w:rsidR="004F020B" w:rsidRPr="00D01837" w:rsidRDefault="004F020B" w:rsidP="00321EB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D01837" w:rsidRPr="00D01837" w14:paraId="543A6A0C" w14:textId="77777777">
        <w:trPr>
          <w:trHeight w:val="60"/>
        </w:trPr>
        <w:tc>
          <w:tcPr>
            <w:tcW w:w="2810" w:type="dxa"/>
            <w:vMerge w:val="restart"/>
            <w:shd w:val="clear" w:color="auto" w:fill="F3F3F3"/>
          </w:tcPr>
          <w:p w14:paraId="7062CEC4" w14:textId="77777777" w:rsidR="00C36D3E" w:rsidRPr="00D01837" w:rsidRDefault="00691959">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lastRenderedPageBreak/>
              <w:t xml:space="preserve">Ustalenia obowiązującego miejscowego planu zagospodarowania przestrzennego dla terenu objętego przedsięwzięciem deweloperskim lub zadaniem inwestycyjnym </w:t>
            </w:r>
          </w:p>
          <w:p w14:paraId="19A33269" w14:textId="77777777" w:rsidR="00C36D3E" w:rsidRPr="00D01837" w:rsidRDefault="00C36D3E">
            <w:pPr>
              <w:spacing w:before="144" w:after="144" w:line="240" w:lineRule="auto"/>
              <w:jc w:val="both"/>
              <w:rPr>
                <w:rFonts w:ascii="Times New Roman" w:eastAsia="Times New Roman" w:hAnsi="Times New Roman" w:cs="Times New Roman"/>
                <w:sz w:val="20"/>
                <w:szCs w:val="20"/>
              </w:rPr>
            </w:pPr>
          </w:p>
        </w:tc>
        <w:tc>
          <w:tcPr>
            <w:tcW w:w="3419" w:type="dxa"/>
            <w:shd w:val="clear" w:color="auto" w:fill="auto"/>
          </w:tcPr>
          <w:p w14:paraId="24D1ADB4" w14:textId="77777777" w:rsidR="00C36D3E" w:rsidRPr="00D01837" w:rsidRDefault="00691959">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Przeznaczenie terenu</w:t>
            </w:r>
          </w:p>
        </w:tc>
        <w:tc>
          <w:tcPr>
            <w:tcW w:w="3419" w:type="dxa"/>
            <w:shd w:val="clear" w:color="auto" w:fill="auto"/>
          </w:tcPr>
          <w:p w14:paraId="1B0197C7" w14:textId="77777777" w:rsidR="00C36D3E" w:rsidRDefault="00200E73" w:rsidP="004F020B">
            <w:pPr>
              <w:spacing w:before="144" w:after="144" w:line="240" w:lineRule="auto"/>
              <w:rPr>
                <w:rFonts w:ascii="Times New Roman" w:eastAsia="Times New Roman" w:hAnsi="Times New Roman" w:cs="Times New Roman"/>
                <w:color w:val="00B050"/>
                <w:sz w:val="20"/>
                <w:szCs w:val="20"/>
              </w:rPr>
            </w:pPr>
            <w:r w:rsidRPr="004F020B">
              <w:rPr>
                <w:rFonts w:ascii="Times New Roman" w:eastAsia="Times New Roman" w:hAnsi="Times New Roman" w:cs="Times New Roman"/>
                <w:color w:val="00B050"/>
                <w:sz w:val="20"/>
                <w:szCs w:val="20"/>
              </w:rPr>
              <w:t>Teren zabudowy mieszkaniowo-usługowej oznaczone na Planie symbolem M</w:t>
            </w:r>
            <w:r w:rsidR="004F020B" w:rsidRPr="004F020B">
              <w:rPr>
                <w:rFonts w:ascii="Times New Roman" w:eastAsia="Times New Roman" w:hAnsi="Times New Roman" w:cs="Times New Roman"/>
                <w:color w:val="00B050"/>
                <w:sz w:val="20"/>
                <w:szCs w:val="20"/>
              </w:rPr>
              <w:t>N</w:t>
            </w:r>
            <w:r w:rsidRPr="004F020B">
              <w:rPr>
                <w:rFonts w:ascii="Times New Roman" w:eastAsia="Times New Roman" w:hAnsi="Times New Roman" w:cs="Times New Roman"/>
                <w:color w:val="00B050"/>
                <w:sz w:val="20"/>
                <w:szCs w:val="20"/>
              </w:rPr>
              <w:t>U</w:t>
            </w:r>
            <w:r w:rsidR="00DE2167" w:rsidRPr="004F020B">
              <w:rPr>
                <w:rFonts w:ascii="Times New Roman" w:eastAsia="Times New Roman" w:hAnsi="Times New Roman" w:cs="Times New Roman"/>
                <w:color w:val="00B050"/>
                <w:sz w:val="20"/>
                <w:szCs w:val="20"/>
              </w:rPr>
              <w:t xml:space="preserve"> </w:t>
            </w:r>
          </w:p>
          <w:p w14:paraId="2728686A" w14:textId="77777777" w:rsidR="002A27EF" w:rsidRPr="004F020B" w:rsidRDefault="002A27EF" w:rsidP="004F020B">
            <w:pPr>
              <w:spacing w:before="144" w:after="144" w:line="240" w:lineRule="auto"/>
              <w:rPr>
                <w:rFonts w:ascii="Times New Roman" w:eastAsia="Times New Roman" w:hAnsi="Times New Roman" w:cs="Times New Roman"/>
                <w:color w:val="00B050"/>
                <w:sz w:val="20"/>
                <w:szCs w:val="20"/>
              </w:rPr>
            </w:pPr>
            <w:r>
              <w:rPr>
                <w:rFonts w:ascii="Times New Roman" w:eastAsia="Times New Roman" w:hAnsi="Times New Roman" w:cs="Times New Roman"/>
                <w:color w:val="00B050"/>
                <w:sz w:val="20"/>
                <w:szCs w:val="20"/>
              </w:rPr>
              <w:t>- teren zabudowy mieszkaniowej jednorodzinnej i usług nie uciążliwych</w:t>
            </w:r>
          </w:p>
        </w:tc>
      </w:tr>
      <w:tr w:rsidR="00D01837" w:rsidRPr="00D01837" w14:paraId="1A04FB30" w14:textId="77777777">
        <w:trPr>
          <w:trHeight w:val="51"/>
        </w:trPr>
        <w:tc>
          <w:tcPr>
            <w:tcW w:w="2810" w:type="dxa"/>
            <w:vMerge/>
            <w:shd w:val="clear" w:color="auto" w:fill="F3F3F3"/>
          </w:tcPr>
          <w:p w14:paraId="60032965" w14:textId="77777777" w:rsidR="00C36D3E" w:rsidRPr="00D01837" w:rsidRDefault="00C36D3E">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7457FC21" w14:textId="77777777" w:rsidR="00C36D3E" w:rsidRPr="00D01837" w:rsidRDefault="00691959">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Maksymalna i minimalna intensywność zabudowy</w:t>
            </w:r>
          </w:p>
        </w:tc>
        <w:tc>
          <w:tcPr>
            <w:tcW w:w="3419" w:type="dxa"/>
            <w:shd w:val="clear" w:color="auto" w:fill="auto"/>
          </w:tcPr>
          <w:p w14:paraId="6E70622A" w14:textId="77777777" w:rsidR="008C603F" w:rsidRPr="0077216A" w:rsidRDefault="008C603F" w:rsidP="008C603F">
            <w:pPr>
              <w:spacing w:before="144" w:after="144" w:line="240" w:lineRule="auto"/>
              <w:rPr>
                <w:rFonts w:ascii="Times New Roman" w:eastAsia="Times New Roman" w:hAnsi="Times New Roman" w:cs="Times New Roman"/>
                <w:color w:val="00B050"/>
                <w:sz w:val="20"/>
                <w:szCs w:val="20"/>
              </w:rPr>
            </w:pPr>
            <w:r w:rsidRPr="0077216A">
              <w:rPr>
                <w:rFonts w:ascii="Times New Roman" w:eastAsia="Times New Roman" w:hAnsi="Times New Roman" w:cs="Times New Roman"/>
                <w:color w:val="00B050"/>
                <w:sz w:val="20"/>
                <w:szCs w:val="20"/>
              </w:rPr>
              <w:t>Wskaźnik minimalnej inwestycji zabudowy 0,01,</w:t>
            </w:r>
          </w:p>
          <w:p w14:paraId="6872DFEA" w14:textId="77777777" w:rsidR="00316DBD" w:rsidRPr="0077216A" w:rsidRDefault="008C603F" w:rsidP="00AD5AC5">
            <w:pPr>
              <w:spacing w:before="144" w:after="144" w:line="240" w:lineRule="auto"/>
              <w:rPr>
                <w:rFonts w:ascii="Times New Roman" w:eastAsia="Times New Roman" w:hAnsi="Times New Roman" w:cs="Times New Roman"/>
                <w:color w:val="00B050"/>
                <w:sz w:val="20"/>
                <w:szCs w:val="20"/>
              </w:rPr>
            </w:pPr>
            <w:r w:rsidRPr="0077216A">
              <w:rPr>
                <w:rFonts w:ascii="Times New Roman" w:eastAsia="Times New Roman" w:hAnsi="Times New Roman" w:cs="Times New Roman"/>
                <w:color w:val="00B050"/>
                <w:sz w:val="20"/>
                <w:szCs w:val="20"/>
              </w:rPr>
              <w:t>Wskaźnik maksymalnej intensywności zabudowy – 0,</w:t>
            </w:r>
            <w:r w:rsidR="002A27EF" w:rsidRPr="0077216A">
              <w:rPr>
                <w:rFonts w:ascii="Times New Roman" w:eastAsia="Times New Roman" w:hAnsi="Times New Roman" w:cs="Times New Roman"/>
                <w:color w:val="00B050"/>
                <w:sz w:val="20"/>
                <w:szCs w:val="20"/>
              </w:rPr>
              <w:t>7</w:t>
            </w:r>
            <w:r w:rsidRPr="0077216A">
              <w:rPr>
                <w:rFonts w:ascii="Times New Roman" w:eastAsia="Times New Roman" w:hAnsi="Times New Roman" w:cs="Times New Roman"/>
                <w:color w:val="00B050"/>
                <w:sz w:val="20"/>
                <w:szCs w:val="20"/>
              </w:rPr>
              <w:t>5,</w:t>
            </w:r>
          </w:p>
        </w:tc>
      </w:tr>
      <w:tr w:rsidR="00D01837" w:rsidRPr="00D01837" w14:paraId="5BDC39E9" w14:textId="77777777" w:rsidTr="0077216A">
        <w:trPr>
          <w:trHeight w:val="1920"/>
        </w:trPr>
        <w:tc>
          <w:tcPr>
            <w:tcW w:w="2810" w:type="dxa"/>
            <w:vMerge/>
            <w:shd w:val="clear" w:color="auto" w:fill="F3F3F3"/>
          </w:tcPr>
          <w:p w14:paraId="4C25187C" w14:textId="77777777" w:rsidR="00C36D3E" w:rsidRPr="00D01837" w:rsidRDefault="00C36D3E">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tcBorders>
              <w:bottom w:val="single" w:sz="4" w:space="0" w:color="auto"/>
            </w:tcBorders>
            <w:shd w:val="clear" w:color="auto" w:fill="auto"/>
          </w:tcPr>
          <w:p w14:paraId="462921CA" w14:textId="77777777" w:rsidR="00C36D3E" w:rsidRPr="00D01837" w:rsidRDefault="00691959">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Maksymalna wysokość zabudowy</w:t>
            </w:r>
          </w:p>
        </w:tc>
        <w:tc>
          <w:tcPr>
            <w:tcW w:w="3419" w:type="dxa"/>
            <w:tcBorders>
              <w:bottom w:val="single" w:sz="4" w:space="0" w:color="auto"/>
            </w:tcBorders>
            <w:shd w:val="clear" w:color="auto" w:fill="auto"/>
          </w:tcPr>
          <w:p w14:paraId="33022CEF" w14:textId="77777777" w:rsidR="00301292" w:rsidRPr="00301292" w:rsidRDefault="00301292" w:rsidP="00301292">
            <w:pPr>
              <w:spacing w:after="0" w:line="240" w:lineRule="auto"/>
              <w:rPr>
                <w:rFonts w:ascii="Times New Roman" w:eastAsia="Times New Roman" w:hAnsi="Times New Roman" w:cs="Times New Roman"/>
                <w:color w:val="00B050"/>
                <w:sz w:val="20"/>
                <w:szCs w:val="20"/>
              </w:rPr>
            </w:pPr>
            <w:r w:rsidRPr="00301292">
              <w:rPr>
                <w:rFonts w:ascii="Times New Roman" w:eastAsia="Times New Roman" w:hAnsi="Times New Roman" w:cs="Times New Roman"/>
                <w:color w:val="00B050"/>
                <w:sz w:val="20"/>
                <w:szCs w:val="20"/>
              </w:rPr>
              <w:t xml:space="preserve">Ustala się dla budynków mieszkalnych </w:t>
            </w:r>
          </w:p>
          <w:p w14:paraId="75828B89" w14:textId="77777777" w:rsidR="00301292" w:rsidRDefault="00301292" w:rsidP="00301292">
            <w:pPr>
              <w:spacing w:after="0" w:line="240" w:lineRule="auto"/>
              <w:rPr>
                <w:rFonts w:ascii="Times New Roman" w:eastAsia="Times New Roman" w:hAnsi="Times New Roman" w:cs="Times New Roman"/>
                <w:color w:val="00B050"/>
                <w:sz w:val="20"/>
                <w:szCs w:val="20"/>
              </w:rPr>
            </w:pPr>
            <w:r w:rsidRPr="00301292">
              <w:rPr>
                <w:rFonts w:ascii="Times New Roman" w:eastAsia="Times New Roman" w:hAnsi="Times New Roman" w:cs="Times New Roman"/>
                <w:color w:val="00B050"/>
                <w:sz w:val="20"/>
                <w:szCs w:val="20"/>
              </w:rPr>
              <w:t xml:space="preserve">jednorodzinnych i budynków usługowych: </w:t>
            </w:r>
          </w:p>
          <w:p w14:paraId="2C30083F" w14:textId="77777777" w:rsidR="002A27EF" w:rsidRPr="002A27EF" w:rsidRDefault="002A27EF" w:rsidP="002A27EF">
            <w:pPr>
              <w:spacing w:after="0" w:line="240" w:lineRule="auto"/>
              <w:rPr>
                <w:rFonts w:ascii="Times New Roman" w:eastAsia="Times New Roman" w:hAnsi="Times New Roman" w:cs="Times New Roman"/>
                <w:color w:val="00B050"/>
                <w:sz w:val="20"/>
                <w:szCs w:val="20"/>
              </w:rPr>
            </w:pPr>
            <w:r w:rsidRPr="002A27EF">
              <w:rPr>
                <w:rFonts w:ascii="Times New Roman" w:eastAsia="Times New Roman" w:hAnsi="Times New Roman" w:cs="Times New Roman"/>
                <w:color w:val="00B050"/>
                <w:sz w:val="20"/>
                <w:szCs w:val="20"/>
              </w:rPr>
              <w:t xml:space="preserve">a) wysokość zabudowy: maksymalnie 3 </w:t>
            </w:r>
          </w:p>
          <w:p w14:paraId="49B92DEE" w14:textId="77777777" w:rsidR="002A27EF" w:rsidRDefault="002A27EF" w:rsidP="002A27EF">
            <w:pPr>
              <w:spacing w:after="0" w:line="240" w:lineRule="auto"/>
              <w:rPr>
                <w:rFonts w:ascii="Times New Roman" w:eastAsia="Times New Roman" w:hAnsi="Times New Roman" w:cs="Times New Roman"/>
                <w:color w:val="00B050"/>
                <w:sz w:val="20"/>
                <w:szCs w:val="20"/>
              </w:rPr>
            </w:pPr>
            <w:r w:rsidRPr="002A27EF">
              <w:rPr>
                <w:rFonts w:ascii="Times New Roman" w:eastAsia="Times New Roman" w:hAnsi="Times New Roman" w:cs="Times New Roman"/>
                <w:color w:val="00B050"/>
                <w:sz w:val="20"/>
                <w:szCs w:val="20"/>
              </w:rPr>
              <w:t>kondygnacje nadziemne</w:t>
            </w:r>
            <w:r>
              <w:rPr>
                <w:rFonts w:ascii="Times New Roman" w:eastAsia="Times New Roman" w:hAnsi="Times New Roman" w:cs="Times New Roman"/>
                <w:color w:val="00B050"/>
                <w:sz w:val="20"/>
                <w:szCs w:val="20"/>
              </w:rPr>
              <w:t xml:space="preserve">j </w:t>
            </w:r>
          </w:p>
          <w:p w14:paraId="6023E384" w14:textId="77777777" w:rsidR="00C36D3E" w:rsidRPr="004C5DB9" w:rsidRDefault="002A27EF" w:rsidP="002A27EF">
            <w:pPr>
              <w:spacing w:after="0" w:line="240" w:lineRule="auto"/>
              <w:rPr>
                <w:rFonts w:ascii="Times New Roman" w:eastAsia="Times New Roman" w:hAnsi="Times New Roman" w:cs="Times New Roman"/>
                <w:color w:val="00B050"/>
                <w:sz w:val="20"/>
                <w:szCs w:val="20"/>
              </w:rPr>
            </w:pPr>
            <w:r>
              <w:rPr>
                <w:rFonts w:ascii="Times New Roman" w:eastAsia="Times New Roman" w:hAnsi="Times New Roman" w:cs="Times New Roman"/>
                <w:color w:val="00B050"/>
                <w:sz w:val="20"/>
                <w:szCs w:val="20"/>
              </w:rPr>
              <w:t>b) maksymalną wysokość budynku garażowego i gospodarczego – 1 kondygnacja naziemna i poddasze użytkowe</w:t>
            </w:r>
          </w:p>
        </w:tc>
      </w:tr>
      <w:tr w:rsidR="0077216A" w:rsidRPr="00D01837" w14:paraId="6FDD8195" w14:textId="77777777" w:rsidTr="0077216A">
        <w:trPr>
          <w:trHeight w:val="656"/>
        </w:trPr>
        <w:tc>
          <w:tcPr>
            <w:tcW w:w="2810" w:type="dxa"/>
            <w:vMerge/>
            <w:shd w:val="clear" w:color="auto" w:fill="F3F3F3"/>
          </w:tcPr>
          <w:p w14:paraId="2AA67C42" w14:textId="77777777" w:rsidR="0077216A" w:rsidRPr="00D01837" w:rsidRDefault="0077216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tcBorders>
              <w:top w:val="single" w:sz="4" w:space="0" w:color="auto"/>
            </w:tcBorders>
            <w:shd w:val="clear" w:color="auto" w:fill="auto"/>
          </w:tcPr>
          <w:p w14:paraId="4FF9B6EF" w14:textId="77777777" w:rsidR="0077216A" w:rsidRPr="0077216A" w:rsidRDefault="0077216A" w:rsidP="0077216A">
            <w:pPr>
              <w:spacing w:after="0" w:line="240" w:lineRule="auto"/>
              <w:jc w:val="both"/>
              <w:rPr>
                <w:rFonts w:ascii="Times New Roman" w:eastAsia="Times New Roman" w:hAnsi="Times New Roman" w:cs="Times New Roman"/>
                <w:sz w:val="20"/>
                <w:szCs w:val="20"/>
              </w:rPr>
            </w:pPr>
            <w:r w:rsidRPr="0077216A">
              <w:rPr>
                <w:rFonts w:ascii="Times New Roman" w:eastAsia="Times New Roman" w:hAnsi="Times New Roman" w:cs="Times New Roman"/>
                <w:sz w:val="20"/>
                <w:szCs w:val="20"/>
              </w:rPr>
              <w:t xml:space="preserve">Maksymalna powierzchnia </w:t>
            </w:r>
          </w:p>
          <w:p w14:paraId="39EBC930" w14:textId="77777777" w:rsidR="0077216A" w:rsidRPr="00D01837" w:rsidRDefault="0077216A" w:rsidP="0077216A">
            <w:pPr>
              <w:spacing w:after="0" w:line="240" w:lineRule="auto"/>
              <w:jc w:val="both"/>
              <w:rPr>
                <w:rFonts w:ascii="Times New Roman" w:eastAsia="Times New Roman" w:hAnsi="Times New Roman" w:cs="Times New Roman"/>
                <w:sz w:val="20"/>
                <w:szCs w:val="20"/>
              </w:rPr>
            </w:pPr>
            <w:r w:rsidRPr="0077216A">
              <w:rPr>
                <w:rFonts w:ascii="Times New Roman" w:eastAsia="Times New Roman" w:hAnsi="Times New Roman" w:cs="Times New Roman"/>
                <w:sz w:val="20"/>
                <w:szCs w:val="20"/>
              </w:rPr>
              <w:t>zabudowy</w:t>
            </w:r>
          </w:p>
        </w:tc>
        <w:tc>
          <w:tcPr>
            <w:tcW w:w="3419" w:type="dxa"/>
            <w:tcBorders>
              <w:top w:val="single" w:sz="4" w:space="0" w:color="auto"/>
            </w:tcBorders>
            <w:shd w:val="clear" w:color="auto" w:fill="auto"/>
          </w:tcPr>
          <w:p w14:paraId="25921287" w14:textId="77777777" w:rsidR="0077216A" w:rsidRPr="00856A09" w:rsidRDefault="0077216A" w:rsidP="0077216A">
            <w:pPr>
              <w:spacing w:before="144" w:after="144" w:line="240" w:lineRule="auto"/>
              <w:rPr>
                <w:rFonts w:ascii="Times New Roman" w:eastAsia="Times New Roman" w:hAnsi="Times New Roman" w:cs="Times New Roman"/>
                <w:color w:val="548DD4" w:themeColor="text2" w:themeTint="99"/>
                <w:sz w:val="20"/>
                <w:szCs w:val="20"/>
              </w:rPr>
            </w:pPr>
            <w:r w:rsidRPr="00856A09">
              <w:rPr>
                <w:rFonts w:ascii="Times New Roman" w:hAnsi="Times New Roman" w:cs="Times New Roman"/>
                <w:color w:val="548DD4" w:themeColor="text2" w:themeTint="99"/>
                <w:sz w:val="20"/>
                <w:szCs w:val="20"/>
              </w:rPr>
              <w:t>Maksymalna powierzchnia zabudowy w stosunku do działki – 70 %.</w:t>
            </w:r>
          </w:p>
        </w:tc>
      </w:tr>
      <w:tr w:rsidR="00D01837" w:rsidRPr="00D01837" w14:paraId="6B0D6BD1" w14:textId="77777777">
        <w:trPr>
          <w:trHeight w:val="51"/>
        </w:trPr>
        <w:tc>
          <w:tcPr>
            <w:tcW w:w="2810" w:type="dxa"/>
            <w:vMerge/>
            <w:shd w:val="clear" w:color="auto" w:fill="F3F3F3"/>
          </w:tcPr>
          <w:p w14:paraId="1FC12858" w14:textId="77777777" w:rsidR="00C36D3E" w:rsidRPr="00D01837" w:rsidRDefault="00C36D3E">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50356B25" w14:textId="77777777" w:rsidR="00C36D3E" w:rsidRPr="00D01837" w:rsidRDefault="00691959">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Minimalny udział procentowy powierzchni biologicznie czynnej</w:t>
            </w:r>
          </w:p>
        </w:tc>
        <w:tc>
          <w:tcPr>
            <w:tcW w:w="3419" w:type="dxa"/>
            <w:shd w:val="clear" w:color="auto" w:fill="auto"/>
          </w:tcPr>
          <w:p w14:paraId="2C5C469B" w14:textId="77777777" w:rsidR="00C36D3E" w:rsidRPr="004C5DB9" w:rsidRDefault="009052C5" w:rsidP="0077216A">
            <w:pPr>
              <w:spacing w:before="144" w:after="144" w:line="240" w:lineRule="auto"/>
              <w:rPr>
                <w:rFonts w:ascii="Times New Roman" w:eastAsia="Times New Roman" w:hAnsi="Times New Roman" w:cs="Times New Roman"/>
                <w:color w:val="00B050"/>
                <w:sz w:val="20"/>
                <w:szCs w:val="20"/>
              </w:rPr>
            </w:pPr>
            <w:r w:rsidRPr="004C5DB9">
              <w:rPr>
                <w:rFonts w:ascii="Times New Roman" w:eastAsia="Times New Roman" w:hAnsi="Times New Roman" w:cs="Times New Roman"/>
                <w:color w:val="00B050"/>
                <w:sz w:val="20"/>
                <w:szCs w:val="20"/>
              </w:rPr>
              <w:t xml:space="preserve">Powierzchnia biologicznie czynna </w:t>
            </w:r>
            <w:r w:rsidR="00EC7810" w:rsidRPr="004C5DB9">
              <w:rPr>
                <w:rFonts w:ascii="Times New Roman" w:eastAsia="Times New Roman" w:hAnsi="Times New Roman" w:cs="Times New Roman"/>
                <w:color w:val="00B050"/>
                <w:sz w:val="20"/>
                <w:szCs w:val="20"/>
              </w:rPr>
              <w:t>nowo zabudowanych</w:t>
            </w:r>
            <w:r w:rsidRPr="004C5DB9">
              <w:rPr>
                <w:rFonts w:ascii="Times New Roman" w:eastAsia="Times New Roman" w:hAnsi="Times New Roman" w:cs="Times New Roman"/>
                <w:color w:val="00B050"/>
                <w:sz w:val="20"/>
                <w:szCs w:val="20"/>
              </w:rPr>
              <w:t xml:space="preserve"> działek nie może być mniejsza niż </w:t>
            </w:r>
            <w:r w:rsidR="0077216A">
              <w:rPr>
                <w:rFonts w:ascii="Times New Roman" w:eastAsia="Times New Roman" w:hAnsi="Times New Roman" w:cs="Times New Roman"/>
                <w:color w:val="00B050"/>
                <w:sz w:val="20"/>
                <w:szCs w:val="20"/>
              </w:rPr>
              <w:t>3</w:t>
            </w:r>
            <w:r w:rsidRPr="004C5DB9">
              <w:rPr>
                <w:rFonts w:ascii="Times New Roman" w:eastAsia="Times New Roman" w:hAnsi="Times New Roman" w:cs="Times New Roman"/>
                <w:color w:val="00B050"/>
                <w:sz w:val="20"/>
                <w:szCs w:val="20"/>
              </w:rPr>
              <w:t>0% ich powierzchni.</w:t>
            </w:r>
          </w:p>
        </w:tc>
      </w:tr>
      <w:tr w:rsidR="00D01837" w:rsidRPr="00D01837" w14:paraId="264105A2" w14:textId="77777777">
        <w:trPr>
          <w:trHeight w:val="51"/>
        </w:trPr>
        <w:tc>
          <w:tcPr>
            <w:tcW w:w="2810" w:type="dxa"/>
            <w:vMerge/>
            <w:shd w:val="clear" w:color="auto" w:fill="F3F3F3"/>
          </w:tcPr>
          <w:p w14:paraId="7CEE2403" w14:textId="77777777" w:rsidR="00C36D3E" w:rsidRPr="00D01837" w:rsidRDefault="00C36D3E">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56E8874B" w14:textId="77777777" w:rsidR="00C36D3E" w:rsidRPr="00D01837" w:rsidRDefault="00691959">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Minimalna liczba miejsc do parkowania</w:t>
            </w:r>
          </w:p>
        </w:tc>
        <w:tc>
          <w:tcPr>
            <w:tcW w:w="3419" w:type="dxa"/>
            <w:shd w:val="clear" w:color="auto" w:fill="auto"/>
          </w:tcPr>
          <w:p w14:paraId="319B19FE" w14:textId="77777777" w:rsidR="00C36D3E" w:rsidRPr="004C5DB9" w:rsidRDefault="0051250C" w:rsidP="00AD5AC5">
            <w:pPr>
              <w:spacing w:before="144" w:after="144" w:line="240" w:lineRule="auto"/>
              <w:rPr>
                <w:rFonts w:ascii="Times New Roman" w:eastAsia="Times New Roman" w:hAnsi="Times New Roman" w:cs="Times New Roman"/>
                <w:color w:val="00B050"/>
                <w:sz w:val="20"/>
                <w:szCs w:val="20"/>
              </w:rPr>
            </w:pPr>
            <w:r w:rsidRPr="004C5DB9">
              <w:rPr>
                <w:rFonts w:ascii="Times New Roman" w:eastAsia="Times New Roman" w:hAnsi="Times New Roman" w:cs="Times New Roman"/>
                <w:color w:val="00B050"/>
                <w:sz w:val="20"/>
                <w:szCs w:val="20"/>
              </w:rPr>
              <w:t>Dwa miejsca parkingowe dla lokalu, dla wszystkich</w:t>
            </w:r>
            <w:r w:rsidR="004C5DB9" w:rsidRPr="004C5DB9">
              <w:rPr>
                <w:rFonts w:ascii="Times New Roman" w:eastAsia="Times New Roman" w:hAnsi="Times New Roman" w:cs="Times New Roman"/>
                <w:color w:val="00B050"/>
                <w:sz w:val="20"/>
                <w:szCs w:val="20"/>
              </w:rPr>
              <w:t xml:space="preserve"> </w:t>
            </w:r>
            <w:r w:rsidR="008C603F" w:rsidRPr="004C5DB9">
              <w:rPr>
                <w:rFonts w:ascii="Times New Roman" w:eastAsia="Times New Roman" w:hAnsi="Times New Roman" w:cs="Times New Roman"/>
                <w:color w:val="00B050"/>
                <w:sz w:val="20"/>
                <w:szCs w:val="20"/>
              </w:rPr>
              <w:t>nowo wznoszonych</w:t>
            </w:r>
            <w:r w:rsidRPr="004C5DB9">
              <w:rPr>
                <w:rFonts w:ascii="Times New Roman" w:eastAsia="Times New Roman" w:hAnsi="Times New Roman" w:cs="Times New Roman"/>
                <w:color w:val="00B050"/>
                <w:sz w:val="20"/>
                <w:szCs w:val="20"/>
              </w:rPr>
              <w:t xml:space="preserve"> obiektów powinny być zlokalizowane na terenie posesji, na której obiekt będzie wznoszony.</w:t>
            </w:r>
          </w:p>
        </w:tc>
      </w:tr>
      <w:tr w:rsidR="00D01837" w:rsidRPr="00D01837" w14:paraId="7D8C5BD8" w14:textId="77777777">
        <w:trPr>
          <w:trHeight w:val="51"/>
        </w:trPr>
        <w:tc>
          <w:tcPr>
            <w:tcW w:w="2810" w:type="dxa"/>
            <w:vMerge/>
            <w:shd w:val="clear" w:color="auto" w:fill="F3F3F3"/>
          </w:tcPr>
          <w:p w14:paraId="2781E1F5"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3CC64022"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Warunki ochrony środowiska i zdrowia ludzi, przyrody i krajobrazu</w:t>
            </w:r>
          </w:p>
        </w:tc>
        <w:tc>
          <w:tcPr>
            <w:tcW w:w="3419" w:type="dxa"/>
            <w:shd w:val="clear" w:color="auto" w:fill="auto"/>
          </w:tcPr>
          <w:p w14:paraId="1C9720CF" w14:textId="77777777" w:rsidR="002A03B8" w:rsidRPr="002A03B8" w:rsidRDefault="002A03B8" w:rsidP="002A03B8">
            <w:pPr>
              <w:spacing w:after="0" w:line="240" w:lineRule="auto"/>
              <w:rPr>
                <w:rFonts w:ascii="Times New Roman" w:eastAsia="Times New Roman" w:hAnsi="Times New Roman" w:cs="Times New Roman"/>
                <w:color w:val="00B050"/>
                <w:sz w:val="20"/>
                <w:szCs w:val="20"/>
              </w:rPr>
            </w:pPr>
            <w:r w:rsidRPr="002A03B8">
              <w:rPr>
                <w:rFonts w:ascii="Times New Roman" w:eastAsia="Times New Roman" w:hAnsi="Times New Roman" w:cs="Times New Roman"/>
                <w:color w:val="00B050"/>
                <w:sz w:val="20"/>
                <w:szCs w:val="20"/>
              </w:rPr>
              <w:t xml:space="preserve">1. Zasady ochrony środowiska, przyrody i krajobrazu: </w:t>
            </w:r>
          </w:p>
          <w:p w14:paraId="6CD27179" w14:textId="77777777" w:rsidR="002A03B8" w:rsidRPr="002A03B8" w:rsidRDefault="002A03B8" w:rsidP="002A03B8">
            <w:pPr>
              <w:spacing w:after="0" w:line="240" w:lineRule="auto"/>
              <w:rPr>
                <w:rFonts w:ascii="Times New Roman" w:eastAsia="Times New Roman" w:hAnsi="Times New Roman" w:cs="Times New Roman"/>
                <w:color w:val="00B050"/>
                <w:sz w:val="20"/>
                <w:szCs w:val="20"/>
              </w:rPr>
            </w:pPr>
            <w:r w:rsidRPr="002A03B8">
              <w:rPr>
                <w:rFonts w:ascii="Times New Roman" w:eastAsia="Times New Roman" w:hAnsi="Times New Roman" w:cs="Times New Roman"/>
                <w:color w:val="00B050"/>
                <w:sz w:val="20"/>
                <w:szCs w:val="20"/>
              </w:rPr>
              <w:t xml:space="preserve">1) ustala się w zakresie ochrony środowiska: </w:t>
            </w:r>
          </w:p>
          <w:p w14:paraId="60582BB6" w14:textId="77777777" w:rsidR="002A03B8" w:rsidRPr="002A03B8" w:rsidRDefault="002A03B8" w:rsidP="002A03B8">
            <w:pPr>
              <w:spacing w:after="0" w:line="240" w:lineRule="auto"/>
              <w:rPr>
                <w:rFonts w:ascii="Times New Roman" w:eastAsia="Times New Roman" w:hAnsi="Times New Roman" w:cs="Times New Roman"/>
                <w:color w:val="00B050"/>
                <w:sz w:val="20"/>
                <w:szCs w:val="20"/>
              </w:rPr>
            </w:pPr>
            <w:r w:rsidRPr="002A03B8">
              <w:rPr>
                <w:rFonts w:ascii="Times New Roman" w:eastAsia="Times New Roman" w:hAnsi="Times New Roman" w:cs="Times New Roman"/>
                <w:color w:val="00B050"/>
                <w:sz w:val="20"/>
                <w:szCs w:val="20"/>
              </w:rPr>
              <w:t xml:space="preserve">a) zakaz lokalizacji przedsięwzięć mogących zawsze znacząco oddziaływać na środowisko, określonych w przepisach odrębnych z wyjątkiem realizowania inwestycji celu publicznego; </w:t>
            </w:r>
          </w:p>
          <w:p w14:paraId="3191CF97" w14:textId="77777777" w:rsidR="002A03B8" w:rsidRPr="002A03B8" w:rsidRDefault="002A03B8" w:rsidP="002A03B8">
            <w:pPr>
              <w:spacing w:after="0" w:line="240" w:lineRule="auto"/>
              <w:rPr>
                <w:rFonts w:ascii="Times New Roman" w:eastAsia="Times New Roman" w:hAnsi="Times New Roman" w:cs="Times New Roman"/>
                <w:color w:val="00B050"/>
                <w:sz w:val="20"/>
                <w:szCs w:val="20"/>
              </w:rPr>
            </w:pPr>
            <w:r w:rsidRPr="002A03B8">
              <w:rPr>
                <w:rFonts w:ascii="Times New Roman" w:eastAsia="Times New Roman" w:hAnsi="Times New Roman" w:cs="Times New Roman"/>
                <w:color w:val="00B050"/>
                <w:sz w:val="20"/>
                <w:szCs w:val="20"/>
              </w:rPr>
              <w:t xml:space="preserve">b) zakaz lokalizacji zakładów zaliczanych do zakładów o zwiększonym lub dużym ryzyku wystąpienia poważnej awarii przemysłowej, o których mowa w przepisach odrębnych z zakresu ochrony środowiska; </w:t>
            </w:r>
          </w:p>
          <w:p w14:paraId="41D5B1F7" w14:textId="77777777" w:rsidR="002A03B8" w:rsidRPr="002A03B8" w:rsidRDefault="002A03B8" w:rsidP="002A03B8">
            <w:pPr>
              <w:spacing w:after="0" w:line="240" w:lineRule="auto"/>
              <w:rPr>
                <w:rFonts w:ascii="Times New Roman" w:eastAsia="Times New Roman" w:hAnsi="Times New Roman" w:cs="Times New Roman"/>
                <w:color w:val="00B050"/>
                <w:sz w:val="20"/>
                <w:szCs w:val="20"/>
              </w:rPr>
            </w:pPr>
            <w:r w:rsidRPr="002A03B8">
              <w:rPr>
                <w:rFonts w:ascii="Times New Roman" w:eastAsia="Times New Roman" w:hAnsi="Times New Roman" w:cs="Times New Roman"/>
                <w:color w:val="00B050"/>
                <w:sz w:val="20"/>
                <w:szCs w:val="20"/>
              </w:rPr>
              <w:t xml:space="preserve">c) zakaz wprowadzania nieoczyszczonych ścieków z dróg i placów utwardzonych do wód </w:t>
            </w:r>
          </w:p>
          <w:p w14:paraId="3E192FF7" w14:textId="77777777" w:rsidR="002A03B8" w:rsidRPr="002A03B8" w:rsidRDefault="002A03B8" w:rsidP="002A03B8">
            <w:pPr>
              <w:spacing w:after="0" w:line="240" w:lineRule="auto"/>
              <w:rPr>
                <w:rFonts w:ascii="Times New Roman" w:eastAsia="Times New Roman" w:hAnsi="Times New Roman" w:cs="Times New Roman"/>
                <w:color w:val="00B050"/>
                <w:sz w:val="20"/>
                <w:szCs w:val="20"/>
              </w:rPr>
            </w:pPr>
            <w:r w:rsidRPr="002A03B8">
              <w:rPr>
                <w:rFonts w:ascii="Times New Roman" w:eastAsia="Times New Roman" w:hAnsi="Times New Roman" w:cs="Times New Roman"/>
                <w:color w:val="00B050"/>
                <w:sz w:val="20"/>
                <w:szCs w:val="20"/>
              </w:rPr>
              <w:t xml:space="preserve">powierzchniowych i gruntu; </w:t>
            </w:r>
          </w:p>
          <w:p w14:paraId="6751EB66" w14:textId="77777777" w:rsidR="002A03B8" w:rsidRPr="002A03B8" w:rsidRDefault="002A03B8" w:rsidP="002A03B8">
            <w:pPr>
              <w:spacing w:after="0" w:line="240" w:lineRule="auto"/>
              <w:rPr>
                <w:rFonts w:ascii="Times New Roman" w:eastAsia="Times New Roman" w:hAnsi="Times New Roman" w:cs="Times New Roman"/>
                <w:color w:val="00B050"/>
                <w:sz w:val="20"/>
                <w:szCs w:val="20"/>
              </w:rPr>
            </w:pPr>
            <w:r w:rsidRPr="002A03B8">
              <w:rPr>
                <w:rFonts w:ascii="Times New Roman" w:eastAsia="Times New Roman" w:hAnsi="Times New Roman" w:cs="Times New Roman"/>
                <w:color w:val="00B050"/>
                <w:sz w:val="20"/>
                <w:szCs w:val="20"/>
              </w:rPr>
              <w:t xml:space="preserve">d) zakaz oddziaływania prowadzonej działalności gospodarczej poza teren inwestycji; </w:t>
            </w:r>
          </w:p>
          <w:p w14:paraId="4CC08BA2" w14:textId="77777777" w:rsidR="002A03B8" w:rsidRPr="002A03B8" w:rsidRDefault="002A03B8" w:rsidP="002A03B8">
            <w:pPr>
              <w:spacing w:after="0" w:line="240" w:lineRule="auto"/>
              <w:rPr>
                <w:rFonts w:ascii="Times New Roman" w:eastAsia="Times New Roman" w:hAnsi="Times New Roman" w:cs="Times New Roman"/>
                <w:color w:val="00B050"/>
                <w:sz w:val="20"/>
                <w:szCs w:val="20"/>
              </w:rPr>
            </w:pPr>
            <w:r w:rsidRPr="002A03B8">
              <w:rPr>
                <w:rFonts w:ascii="Times New Roman" w:eastAsia="Times New Roman" w:hAnsi="Times New Roman" w:cs="Times New Roman"/>
                <w:color w:val="00B050"/>
                <w:sz w:val="20"/>
                <w:szCs w:val="20"/>
              </w:rPr>
              <w:lastRenderedPageBreak/>
              <w:t xml:space="preserve">e) zakaz podwyższania i obniżania terenu działek powyżej lub poniżej poziomu terenu działek sąsiednich oraz zmiany stanu wody na gruncie w tym jej odpływu na działki sąsiednie; </w:t>
            </w:r>
          </w:p>
          <w:p w14:paraId="11B9AF0E" w14:textId="77777777" w:rsidR="002A03B8" w:rsidRPr="002A03B8" w:rsidRDefault="002A03B8" w:rsidP="002A03B8">
            <w:pPr>
              <w:spacing w:after="0" w:line="240" w:lineRule="auto"/>
              <w:rPr>
                <w:rFonts w:ascii="Times New Roman" w:eastAsia="Times New Roman" w:hAnsi="Times New Roman" w:cs="Times New Roman"/>
                <w:color w:val="00B050"/>
                <w:sz w:val="20"/>
                <w:szCs w:val="20"/>
              </w:rPr>
            </w:pPr>
            <w:r w:rsidRPr="002A03B8">
              <w:rPr>
                <w:rFonts w:ascii="Times New Roman" w:eastAsia="Times New Roman" w:hAnsi="Times New Roman" w:cs="Times New Roman"/>
                <w:color w:val="00B050"/>
                <w:sz w:val="20"/>
                <w:szCs w:val="20"/>
              </w:rPr>
              <w:t xml:space="preserve">f) zakaz wprowadzania do ziemi substancji mogących negatywnie wpływać na jakość wód </w:t>
            </w:r>
          </w:p>
          <w:p w14:paraId="1B7D6077" w14:textId="77777777" w:rsidR="002A03B8" w:rsidRPr="002A03B8" w:rsidRDefault="002A03B8" w:rsidP="002A03B8">
            <w:pPr>
              <w:spacing w:after="0" w:line="240" w:lineRule="auto"/>
              <w:rPr>
                <w:rFonts w:ascii="Times New Roman" w:eastAsia="Times New Roman" w:hAnsi="Times New Roman" w:cs="Times New Roman"/>
                <w:color w:val="00B050"/>
                <w:sz w:val="20"/>
                <w:szCs w:val="20"/>
              </w:rPr>
            </w:pPr>
            <w:r w:rsidRPr="002A03B8">
              <w:rPr>
                <w:rFonts w:ascii="Times New Roman" w:eastAsia="Times New Roman" w:hAnsi="Times New Roman" w:cs="Times New Roman"/>
                <w:color w:val="00B050"/>
                <w:sz w:val="20"/>
                <w:szCs w:val="20"/>
              </w:rPr>
              <w:t xml:space="preserve">podziemnych; </w:t>
            </w:r>
          </w:p>
          <w:p w14:paraId="33EA676F" w14:textId="77777777" w:rsidR="002A03B8" w:rsidRPr="002A03B8" w:rsidRDefault="002A03B8" w:rsidP="002A03B8">
            <w:pPr>
              <w:spacing w:after="0" w:line="240" w:lineRule="auto"/>
              <w:rPr>
                <w:rFonts w:ascii="Times New Roman" w:eastAsia="Times New Roman" w:hAnsi="Times New Roman" w:cs="Times New Roman"/>
                <w:color w:val="00B050"/>
                <w:sz w:val="20"/>
                <w:szCs w:val="20"/>
              </w:rPr>
            </w:pPr>
            <w:r w:rsidRPr="002A03B8">
              <w:rPr>
                <w:rFonts w:ascii="Times New Roman" w:eastAsia="Times New Roman" w:hAnsi="Times New Roman" w:cs="Times New Roman"/>
                <w:color w:val="00B050"/>
                <w:sz w:val="20"/>
                <w:szCs w:val="20"/>
              </w:rPr>
              <w:t xml:space="preserve">g) dopuszczalne poziomy hałasu, przyjmując odpowiednie przepisy odrębne dla terenów oznaczonych symbolem: - MN – jak dla terenów zabudowy mieszkaniowej jednorodzinnej; </w:t>
            </w:r>
          </w:p>
          <w:p w14:paraId="428EDBA0" w14:textId="77777777" w:rsidR="00AD5AC5" w:rsidRPr="00D01837" w:rsidRDefault="002A03B8" w:rsidP="002A03B8">
            <w:pPr>
              <w:spacing w:after="0" w:line="240" w:lineRule="auto"/>
              <w:rPr>
                <w:rFonts w:ascii="Times New Roman" w:eastAsia="Times New Roman" w:hAnsi="Times New Roman" w:cs="Times New Roman"/>
                <w:sz w:val="20"/>
                <w:szCs w:val="20"/>
              </w:rPr>
            </w:pPr>
            <w:r w:rsidRPr="002A03B8">
              <w:rPr>
                <w:rFonts w:ascii="Times New Roman" w:eastAsia="Times New Roman" w:hAnsi="Times New Roman" w:cs="Times New Roman"/>
                <w:color w:val="00B050"/>
                <w:sz w:val="20"/>
                <w:szCs w:val="20"/>
              </w:rPr>
              <w:t>h) dopuszcza się przebudowę i przykrycie rowów zgodnie z przepisami odrębnymi</w:t>
            </w:r>
          </w:p>
        </w:tc>
      </w:tr>
      <w:tr w:rsidR="00D01837" w:rsidRPr="00D01837" w14:paraId="16B8F930" w14:textId="77777777">
        <w:trPr>
          <w:trHeight w:val="51"/>
        </w:trPr>
        <w:tc>
          <w:tcPr>
            <w:tcW w:w="2810" w:type="dxa"/>
            <w:vMerge/>
            <w:shd w:val="clear" w:color="auto" w:fill="F3F3F3"/>
          </w:tcPr>
          <w:p w14:paraId="0CAC5BB1"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4B465045"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Wymagania dotyczące zabudowy i zagospodarowania terenu położonego na obszarach szczególnego zagrożenia powodzią</w:t>
            </w:r>
          </w:p>
        </w:tc>
        <w:tc>
          <w:tcPr>
            <w:tcW w:w="3419" w:type="dxa"/>
            <w:shd w:val="clear" w:color="auto" w:fill="auto"/>
          </w:tcPr>
          <w:p w14:paraId="63823F08" w14:textId="77777777" w:rsidR="00AD5AC5" w:rsidRPr="00D211A2" w:rsidRDefault="00AD5AC5" w:rsidP="00D211A2">
            <w:pPr>
              <w:spacing w:before="144" w:after="144" w:line="240" w:lineRule="auto"/>
              <w:jc w:val="both"/>
              <w:rPr>
                <w:rFonts w:ascii="Times New Roman" w:eastAsia="Times New Roman" w:hAnsi="Times New Roman" w:cs="Times New Roman"/>
                <w:color w:val="00B050"/>
                <w:sz w:val="20"/>
                <w:szCs w:val="20"/>
              </w:rPr>
            </w:pPr>
            <w:r w:rsidRPr="00D211A2">
              <w:rPr>
                <w:rFonts w:ascii="Times New Roman" w:eastAsia="Times New Roman" w:hAnsi="Times New Roman" w:cs="Times New Roman"/>
                <w:color w:val="00B050"/>
                <w:sz w:val="20"/>
                <w:szCs w:val="20"/>
              </w:rPr>
              <w:t xml:space="preserve">Nie </w:t>
            </w:r>
            <w:r w:rsidR="00D211A2" w:rsidRPr="00D211A2">
              <w:rPr>
                <w:rFonts w:ascii="Times New Roman" w:eastAsia="Times New Roman" w:hAnsi="Times New Roman" w:cs="Times New Roman"/>
                <w:color w:val="00B050"/>
                <w:sz w:val="20"/>
                <w:szCs w:val="20"/>
              </w:rPr>
              <w:t>określona</w:t>
            </w:r>
          </w:p>
        </w:tc>
      </w:tr>
      <w:tr w:rsidR="00D01837" w:rsidRPr="00D01837" w14:paraId="184FE321" w14:textId="77777777">
        <w:trPr>
          <w:trHeight w:val="51"/>
        </w:trPr>
        <w:tc>
          <w:tcPr>
            <w:tcW w:w="2810" w:type="dxa"/>
            <w:vMerge/>
            <w:shd w:val="clear" w:color="auto" w:fill="F3F3F3"/>
          </w:tcPr>
          <w:p w14:paraId="513C73C3"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1731EB11"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Warunki ochrony dziedzictwa kulturowego i zabytków oraz dóbr kultury współczesnej</w:t>
            </w:r>
          </w:p>
        </w:tc>
        <w:tc>
          <w:tcPr>
            <w:tcW w:w="3419" w:type="dxa"/>
            <w:shd w:val="clear" w:color="auto" w:fill="auto"/>
          </w:tcPr>
          <w:p w14:paraId="71139BE0" w14:textId="77777777" w:rsidR="00AD5AC5" w:rsidRPr="00D211A2" w:rsidRDefault="00D211A2" w:rsidP="00AD5AC5">
            <w:pPr>
              <w:spacing w:before="144" w:after="144" w:line="240" w:lineRule="auto"/>
              <w:jc w:val="both"/>
              <w:rPr>
                <w:rFonts w:ascii="Times New Roman" w:eastAsia="Times New Roman" w:hAnsi="Times New Roman" w:cs="Times New Roman"/>
                <w:color w:val="00B050"/>
                <w:sz w:val="20"/>
                <w:szCs w:val="20"/>
              </w:rPr>
            </w:pPr>
            <w:r w:rsidRPr="00D211A2">
              <w:rPr>
                <w:rFonts w:ascii="Times New Roman" w:eastAsia="Times New Roman" w:hAnsi="Times New Roman" w:cs="Times New Roman"/>
                <w:color w:val="00B050"/>
                <w:sz w:val="20"/>
                <w:szCs w:val="20"/>
              </w:rPr>
              <w:t>Nie określona</w:t>
            </w:r>
          </w:p>
        </w:tc>
      </w:tr>
      <w:tr w:rsidR="00D01837" w:rsidRPr="00D01837" w14:paraId="3E0F1E5A" w14:textId="77777777">
        <w:trPr>
          <w:trHeight w:val="51"/>
        </w:trPr>
        <w:tc>
          <w:tcPr>
            <w:tcW w:w="2810" w:type="dxa"/>
            <w:vMerge/>
            <w:shd w:val="clear" w:color="auto" w:fill="F3F3F3"/>
          </w:tcPr>
          <w:p w14:paraId="4BC91B1D"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7D22153A"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Wymagania dotyczące ochrony innych terenów lub obiektów podlegających ochronie na podstawie przepisów odrębnych</w:t>
            </w:r>
          </w:p>
        </w:tc>
        <w:tc>
          <w:tcPr>
            <w:tcW w:w="3419" w:type="dxa"/>
            <w:shd w:val="clear" w:color="auto" w:fill="auto"/>
          </w:tcPr>
          <w:p w14:paraId="1F954F47" w14:textId="77777777" w:rsidR="00AD5AC5" w:rsidRPr="00D211A2" w:rsidRDefault="00D211A2" w:rsidP="00AD5AC5">
            <w:pPr>
              <w:spacing w:before="144" w:after="144" w:line="240" w:lineRule="auto"/>
              <w:jc w:val="both"/>
              <w:rPr>
                <w:rFonts w:ascii="Times New Roman" w:eastAsia="Times New Roman" w:hAnsi="Times New Roman" w:cs="Times New Roman"/>
                <w:color w:val="00B050"/>
                <w:sz w:val="20"/>
                <w:szCs w:val="20"/>
              </w:rPr>
            </w:pPr>
            <w:r w:rsidRPr="00D211A2">
              <w:rPr>
                <w:rFonts w:ascii="Times New Roman" w:eastAsia="Times New Roman" w:hAnsi="Times New Roman" w:cs="Times New Roman"/>
                <w:color w:val="00B050"/>
                <w:sz w:val="20"/>
                <w:szCs w:val="20"/>
              </w:rPr>
              <w:t>Nie określona</w:t>
            </w:r>
          </w:p>
        </w:tc>
      </w:tr>
      <w:tr w:rsidR="00D01837" w:rsidRPr="00D01837" w14:paraId="27C72DE3" w14:textId="77777777">
        <w:trPr>
          <w:trHeight w:val="51"/>
        </w:trPr>
        <w:tc>
          <w:tcPr>
            <w:tcW w:w="2810" w:type="dxa"/>
            <w:vMerge/>
            <w:shd w:val="clear" w:color="auto" w:fill="F3F3F3"/>
          </w:tcPr>
          <w:p w14:paraId="650C2814"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1E6A68C0"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Warunki i szczegółowe zasady obsługi w zakresie komunikacji</w:t>
            </w:r>
          </w:p>
        </w:tc>
        <w:tc>
          <w:tcPr>
            <w:tcW w:w="3419" w:type="dxa"/>
            <w:shd w:val="clear" w:color="auto" w:fill="auto"/>
          </w:tcPr>
          <w:p w14:paraId="73414D49" w14:textId="77777777" w:rsidR="004455C7" w:rsidRDefault="004455C7" w:rsidP="00AD5AC5">
            <w:pPr>
              <w:pStyle w:val="Bezodstpw"/>
              <w:rPr>
                <w:rFonts w:ascii="Times New Roman" w:hAnsi="Times New Roman" w:cs="Times New Roman"/>
                <w:color w:val="00B050"/>
              </w:rPr>
            </w:pPr>
            <w:r w:rsidRPr="004455C7">
              <w:rPr>
                <w:rFonts w:ascii="Times New Roman" w:hAnsi="Times New Roman" w:cs="Times New Roman"/>
                <w:color w:val="00B050"/>
              </w:rPr>
              <w:t xml:space="preserve">Ustala się w zakresie systemów komunikacji następujące zasady: </w:t>
            </w:r>
          </w:p>
          <w:p w14:paraId="2B3EEAEC" w14:textId="77777777" w:rsidR="00AD5AC5" w:rsidRPr="004455C7" w:rsidRDefault="004455C7" w:rsidP="00AD5AC5">
            <w:pPr>
              <w:pStyle w:val="Bezodstpw"/>
              <w:rPr>
                <w:rFonts w:ascii="Times New Roman" w:hAnsi="Times New Roman" w:cs="Times New Roman"/>
                <w:color w:val="00B050"/>
              </w:rPr>
            </w:pPr>
            <w:r w:rsidRPr="004455C7">
              <w:rPr>
                <w:rFonts w:ascii="Times New Roman" w:hAnsi="Times New Roman" w:cs="Times New Roman"/>
                <w:color w:val="00B050"/>
              </w:rPr>
              <w:t>a) ustala się podstawowy układ dróg publicznych, który stanowią drogi oznaczone w planie symbolami: - KDZ - tereny dróg publicznych klasy zbiorczej; - KDL - tereny dróg publicznych klasy lokalnej; - KDD - tereny dróg publicznych klasy dojazdowej; - KDPJ - tereny publicznych ciągów pieszo jezdnych;</w:t>
            </w:r>
          </w:p>
        </w:tc>
      </w:tr>
      <w:tr w:rsidR="00D01837" w:rsidRPr="00D01837" w14:paraId="65AA246F" w14:textId="77777777">
        <w:trPr>
          <w:trHeight w:val="51"/>
        </w:trPr>
        <w:tc>
          <w:tcPr>
            <w:tcW w:w="2810" w:type="dxa"/>
            <w:vMerge/>
            <w:shd w:val="clear" w:color="auto" w:fill="F3F3F3"/>
          </w:tcPr>
          <w:p w14:paraId="1F382240"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4786C159"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Warunki i szczegółowe zasady obsługi w zakresie infrastruktury technicznej</w:t>
            </w:r>
          </w:p>
        </w:tc>
        <w:tc>
          <w:tcPr>
            <w:tcW w:w="3419" w:type="dxa"/>
            <w:shd w:val="clear" w:color="auto" w:fill="auto"/>
          </w:tcPr>
          <w:p w14:paraId="17B453D8"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I. Zasady z zakresu zaopatrzenia w wodę: </w:t>
            </w:r>
          </w:p>
          <w:p w14:paraId="7C013725"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a) zaopatrzenie w wodę z istniejącej i projektowanej sieci wodociągowej o przekrojach od 40 mm; </w:t>
            </w:r>
          </w:p>
          <w:p w14:paraId="55AD70B0"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b) projektowaną sieć wodociągową należy włączyć do istniejących wodociągów; </w:t>
            </w:r>
          </w:p>
          <w:p w14:paraId="79C8FFA7"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c) przeciwpożarowe zaopatrzenie w wodę należy realizować zgodnie z przepisami odrębnymi; </w:t>
            </w:r>
          </w:p>
          <w:p w14:paraId="2F04A334"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d) dopuszcza się budowę, rozbudowę, przebudowę i remont sieci wodociągowej, na zasadach </w:t>
            </w:r>
          </w:p>
          <w:p w14:paraId="5FF5CD57"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lastRenderedPageBreak/>
              <w:t xml:space="preserve">określonych przepisami odrębnymi; </w:t>
            </w:r>
          </w:p>
          <w:p w14:paraId="73D37F6F"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e) obiekty i urządzenia infrastruktury technicznej należy lokalizować na terenach położonych w liniach rozgraniczających dróg publicznych oraz publicznych ciągów pieszo-jezdnych; </w:t>
            </w:r>
          </w:p>
          <w:p w14:paraId="13CCB6B2"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f) dopuszcza się lokalizowanie obiektów, urządzeń, sieci i przyłączy poza terenami dróg publicznych </w:t>
            </w:r>
          </w:p>
          <w:p w14:paraId="2F897766"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oraz terenami publicznych ciągów pieszo-jezdnych, jeżeli nie naruszy to przepisów odrębnych oraz nie </w:t>
            </w:r>
          </w:p>
          <w:p w14:paraId="47B64864"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wpłynie na możliwość realizowania przeznaczenia podstawowego i uzupełniającego terenu; </w:t>
            </w:r>
          </w:p>
          <w:p w14:paraId="3703F0FB"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g) dopuszcza się przebudowę, </w:t>
            </w:r>
            <w:proofErr w:type="gramStart"/>
            <w:r w:rsidRPr="00F544A9">
              <w:rPr>
                <w:rFonts w:ascii="Times New Roman" w:eastAsia="Times New Roman" w:hAnsi="Times New Roman" w:cs="Times New Roman"/>
                <w:color w:val="00B050"/>
                <w:sz w:val="20"/>
                <w:szCs w:val="20"/>
              </w:rPr>
              <w:t>rozbudowę,  przeniesienie</w:t>
            </w:r>
            <w:proofErr w:type="gramEnd"/>
            <w:r w:rsidRPr="00F544A9">
              <w:rPr>
                <w:rFonts w:ascii="Times New Roman" w:eastAsia="Times New Roman" w:hAnsi="Times New Roman" w:cs="Times New Roman"/>
                <w:color w:val="00B050"/>
                <w:sz w:val="20"/>
                <w:szCs w:val="20"/>
              </w:rPr>
              <w:t xml:space="preserve"> istniejących sieci i obiektów infrastruktury technicznej kolidujących z </w:t>
            </w:r>
          </w:p>
          <w:p w14:paraId="2D40A00E"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projektowaną zabudową, obiektami i </w:t>
            </w:r>
          </w:p>
          <w:p w14:paraId="23490EE2"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zagospodarowaniem terenu; </w:t>
            </w:r>
          </w:p>
          <w:p w14:paraId="44CCA6C1"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h) ustala się zachowanie istniejących ujęć wody dla wodociągu miejskiego z dopuszczeniem ich rozbudowy, przebudowy i remontu; </w:t>
            </w:r>
          </w:p>
          <w:p w14:paraId="7A260BDB"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i) dopuszcza się budowę nowych ujęć wody na zasadach określonych w przepisach odrębnych. </w:t>
            </w:r>
          </w:p>
          <w:p w14:paraId="20A1D748"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II. Zasady z zakresu odprowadzenia i oczyszczania ścieków: </w:t>
            </w:r>
          </w:p>
          <w:p w14:paraId="7BCCAF68"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a) odprowadzenie ścieków sanitarnych miejską siecią kanalizacyjną o przekrojach od 50 mm do </w:t>
            </w:r>
          </w:p>
          <w:p w14:paraId="76722935"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oczyszczalni lub kolektora zbiorczego; </w:t>
            </w:r>
          </w:p>
          <w:p w14:paraId="14A3BCFC"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b) dopuszcza się na obszarach nie objętych siecią kanalizacyjną odprowadzenie ścieków bytowych </w:t>
            </w:r>
          </w:p>
          <w:p w14:paraId="6895C438"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tymczasowo do szczelnych atestowanych zbiorników bezodpływowych, a docelowo </w:t>
            </w:r>
          </w:p>
          <w:p w14:paraId="54958CC8"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przyłączenie ich do zbiorczej sieci kanalizacji sanitarnej po jej wybudowaniu; </w:t>
            </w:r>
          </w:p>
          <w:p w14:paraId="0846B8D7"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c) ustala się odprowadzenie ścieków powstałych w wyniku prowadzonej działalności gospodarczej do </w:t>
            </w:r>
          </w:p>
          <w:p w14:paraId="1C2DBDF7"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miejskiej sieci kanalizacji sanitarnej, gdy ścieki te spełniają normy określone w stosownych przepisach odrębnych; </w:t>
            </w:r>
          </w:p>
          <w:p w14:paraId="21DD6681"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d) dopuszcza się budowę, rozbudowę, przebudowę i remont sieci kanalizacji sanitarnej, na zasadach </w:t>
            </w:r>
          </w:p>
          <w:p w14:paraId="45B21810"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określonych przepisami odrębnymi; </w:t>
            </w:r>
          </w:p>
          <w:p w14:paraId="5C51F64D"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e) obiekty i urządzenia infrastruktury technicznej należy lokalizować na terenach położonych w liniach rozgraniczających dróg publicznych oraz publicznych ciągów pieszo-jezdnych; </w:t>
            </w:r>
          </w:p>
          <w:p w14:paraId="4F62D5AB"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lastRenderedPageBreak/>
              <w:t xml:space="preserve">f) dopuszcza się lokalizowanie obiektów, urządzeń, sieci i przyłączy poza terenami dróg publicznych </w:t>
            </w:r>
          </w:p>
          <w:p w14:paraId="1DABD7F7"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oraz terenami publicznych ciągów pieszo-jezdnych, jeżeli nie naruszy to przepisów odrębnych oraz nie wpłynie na możliwość realizowania przeznaczenia podstawowego i uzupełniającego terenu, </w:t>
            </w:r>
          </w:p>
          <w:p w14:paraId="6488E636"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g) dopuszcza się przebudowę, rozbudowę i przeniesienie istniejących sieci i obiektów infrastruktury technicznej, kolidujących z </w:t>
            </w:r>
          </w:p>
          <w:p w14:paraId="72F48A65"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projektowaną zabudową, obiektami i </w:t>
            </w:r>
          </w:p>
          <w:p w14:paraId="2A6E2A4C"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zagospodarowaniem terenu. </w:t>
            </w:r>
          </w:p>
          <w:p w14:paraId="5F5964C6"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III. Zasady z zakresu odprowadzania wód opadowych i roztopowych: </w:t>
            </w:r>
          </w:p>
          <w:p w14:paraId="037BDE7E"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a) wody opadowe i roztopowe należy ująć w otwarte lub zamknięte systemy kanalizacji deszczowej, a przed ich wprowadzeniem do wód lub ziemi oczyścić zgodnie z przepisami </w:t>
            </w:r>
          </w:p>
          <w:p w14:paraId="42134417"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odrębnymi; </w:t>
            </w:r>
          </w:p>
          <w:p w14:paraId="782808A9"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b) odprowadzenie wód opadowych lub </w:t>
            </w:r>
          </w:p>
          <w:p w14:paraId="32E12139"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roztopowych miejską siecią kanalizacji deszczowej o przekrojach od 200 mm oraz poprzez rowy; </w:t>
            </w:r>
          </w:p>
          <w:p w14:paraId="01C45BDB"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c) dopuszcza się budowę, rozbudowę, przebudowę i remont sieci kanalizacji deszczowej, na zasadach </w:t>
            </w:r>
          </w:p>
          <w:p w14:paraId="6504935C"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określonych przepisami odrębnymi. </w:t>
            </w:r>
          </w:p>
          <w:p w14:paraId="7B96101B"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IV. Zasady z zakresu zaopatrzenia w energię elektryczną: </w:t>
            </w:r>
          </w:p>
          <w:p w14:paraId="46F4CAED"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a) ustala się obowiązek zachowania minimalnych odległości od sieci i urządzeń średniego i niskiego </w:t>
            </w:r>
          </w:p>
          <w:p w14:paraId="3819CE53"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napięcia do zieleni i obiektów budowlanych zgodnie z przepisami odrębnymi; </w:t>
            </w:r>
          </w:p>
          <w:p w14:paraId="510D1307"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b) dopuszcza się możliwość skablowania sieci średniego i niskiego napięcia; </w:t>
            </w:r>
          </w:p>
          <w:p w14:paraId="7D9FDB51"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c) ustala się zaopatrzenie istniejącej i projektowanej zabudowy z istniejącej i projektowanej sieci średniego i niskiego napięcia zgodnie z zasadami: - podłączenie do sieci elektroenergetycznej </w:t>
            </w:r>
          </w:p>
          <w:p w14:paraId="78ADA237"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obiektów budowlanych poprzez projektowane przyłącza indywidualne. - w przypadku kolizji projektowanego </w:t>
            </w:r>
          </w:p>
          <w:p w14:paraId="3835187C"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zagospodarowania terenu z istniejącymi urządzeniami elektroenergetycznymi, dopuszcza się </w:t>
            </w:r>
          </w:p>
          <w:p w14:paraId="67F9144D"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możliwość przebudowy w kolidującym zakresie, zgodnie z obowiązującymi przepisami; </w:t>
            </w:r>
          </w:p>
          <w:p w14:paraId="598CC435"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d) dopuszcza się budowę, rozbudowę, przebudowę i remont sieci elektroenergetycznej, na zasadach </w:t>
            </w:r>
          </w:p>
          <w:p w14:paraId="08501739"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lastRenderedPageBreak/>
              <w:t xml:space="preserve">określonych przepisami odrębnymi; </w:t>
            </w:r>
          </w:p>
          <w:p w14:paraId="0397A3C0"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e) obiekty i urządzenia infrastruktury technicznej należy lokalizować na terenach położonych w liniach rozgraniczających dróg publicznych oraz publicznych ciągów pieszo-jezdnych; </w:t>
            </w:r>
          </w:p>
          <w:p w14:paraId="6B71BF82"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f) dopuszcza się lokalizowanie obiektów, urządzeń, sieci i przyłączy poza terenami dróg publicznych </w:t>
            </w:r>
          </w:p>
          <w:p w14:paraId="05CCD85D"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oraz terenami publicznych ciągów pieszo-jezdnych, </w:t>
            </w:r>
          </w:p>
          <w:p w14:paraId="1E951E43"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jeżeli nie będzie to kolidowało z zabudową i zagospodarowaniem terenu, </w:t>
            </w:r>
          </w:p>
          <w:p w14:paraId="59B6A5D6"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g) dopuszcza się przebudowę, rozbudowę i przeniesienie istniejącej sieci i obiektów infrastruktury technicznej, kolidujących z </w:t>
            </w:r>
          </w:p>
          <w:p w14:paraId="4F04F71B"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projektowaną zabudową, obiektami i </w:t>
            </w:r>
          </w:p>
          <w:p w14:paraId="0C88A406"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zagospodarowaniem terenu. V. Zasady z zakresu zaopatrzenia w ciepło z </w:t>
            </w:r>
          </w:p>
          <w:p w14:paraId="71092C27"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indywidualnych źródeł ciepła zasilanych gazem, energią elektryczną, olejem nisko siarkowym lub z </w:t>
            </w:r>
          </w:p>
          <w:p w14:paraId="07EFDA4B"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odnawialnych źródeł energii o mocy nie przekraczającej 100 </w:t>
            </w:r>
            <w:proofErr w:type="spellStart"/>
            <w:r w:rsidRPr="00F544A9">
              <w:rPr>
                <w:rFonts w:ascii="Times New Roman" w:eastAsia="Times New Roman" w:hAnsi="Times New Roman" w:cs="Times New Roman"/>
                <w:color w:val="00B050"/>
                <w:sz w:val="20"/>
                <w:szCs w:val="20"/>
              </w:rPr>
              <w:t>kW.</w:t>
            </w:r>
            <w:proofErr w:type="spellEnd"/>
            <w:r w:rsidRPr="00F544A9">
              <w:rPr>
                <w:rFonts w:ascii="Times New Roman" w:eastAsia="Times New Roman" w:hAnsi="Times New Roman" w:cs="Times New Roman"/>
                <w:color w:val="00B050"/>
                <w:sz w:val="20"/>
                <w:szCs w:val="20"/>
              </w:rPr>
              <w:t xml:space="preserve"> </w:t>
            </w:r>
          </w:p>
          <w:p w14:paraId="1796281F"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VI. Zasady z zakresu zaopatrzenia w gaz: </w:t>
            </w:r>
          </w:p>
          <w:p w14:paraId="768DDB90"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a) dopuszcza się możliwość zaopatrzenia zabudowy w gaz do celów gospodarczych, technologicznych, </w:t>
            </w:r>
          </w:p>
          <w:p w14:paraId="3B2D2D42"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przemysłowych i grzewczych sieciami o przekrojach od 25 mm. </w:t>
            </w:r>
          </w:p>
          <w:p w14:paraId="4F2DFFE3"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b) dopuszcza się budowę, rozbudowę, przebudowę i remont sieci gazowych, na zasadach określonych przepisami odrębnymi; </w:t>
            </w:r>
          </w:p>
          <w:p w14:paraId="32BE892C"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c) obiekty i urządzenia infrastruktury technicznej należy lokalizować w liniach rozgraniczających </w:t>
            </w:r>
          </w:p>
          <w:p w14:paraId="52A1316E"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dróg publicznych oraz publicznych ciągów pieszo jezdnych; </w:t>
            </w:r>
          </w:p>
          <w:p w14:paraId="0CF217A4"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d) dopuszcza się lokalizowanie obiektów, urządzeń, sieci i przyłączy poza terenami dróg publicznych </w:t>
            </w:r>
          </w:p>
          <w:p w14:paraId="3E81976A"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oraz terenami publicznych ciągów pieszo-jezdnych, jeżeli nie będzie to kolidowało z zabudową i </w:t>
            </w:r>
          </w:p>
          <w:p w14:paraId="0C9A9720"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zagospodarowaniem terenu, </w:t>
            </w:r>
          </w:p>
          <w:p w14:paraId="21A46365"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e) dopuszcza się przebudowę, rozbudowę i przeniesienie istniejącej sieci i obiektów infrastruktury technicznej, kolidujących z </w:t>
            </w:r>
          </w:p>
          <w:p w14:paraId="3A85D915"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projektowaną zabudową, obiektami i </w:t>
            </w:r>
          </w:p>
          <w:p w14:paraId="3BE5C7BB"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zagospodarowaniem terenu. </w:t>
            </w:r>
          </w:p>
          <w:p w14:paraId="792C273F"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VII. Zasady z zakresu infrastruktury </w:t>
            </w:r>
          </w:p>
          <w:p w14:paraId="2DEAA5AE"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telekomunikacyjnej: </w:t>
            </w:r>
          </w:p>
          <w:p w14:paraId="1DE2DF8D"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a) dopuszcza się budowę, rozbudowę, przebudowę i remont sieci telekomunikacyjnych, na zasadach </w:t>
            </w:r>
          </w:p>
          <w:p w14:paraId="23A6E7CF"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lastRenderedPageBreak/>
              <w:t xml:space="preserve">określonych przepisami odrębnymi; </w:t>
            </w:r>
          </w:p>
          <w:p w14:paraId="5517C3E5"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b) obiekty i urządzenia infrastruktury technicznej należy lokalizować na terenach położonych w liniach rozgraniczających dróg publicznych oraz </w:t>
            </w:r>
          </w:p>
          <w:p w14:paraId="0BC2FDEA"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publicznych ciągów pieszo-jezdnych; </w:t>
            </w:r>
          </w:p>
          <w:p w14:paraId="5293A5B1"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c) dopuszcza się lokalizowanie obiektów, urządzeń, sieci i przyłączy poza terenami dróg publicznych </w:t>
            </w:r>
          </w:p>
          <w:p w14:paraId="05484D2C"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oraz terenami publicznych ciągów pieszo-jezdnych, jeżeli nie będzie to kolidowało z zabudową i </w:t>
            </w:r>
          </w:p>
          <w:p w14:paraId="41C54A9B"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zagospodarowaniem terenu; </w:t>
            </w:r>
          </w:p>
          <w:p w14:paraId="48CBE9EF"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d) dopuszcza się przebudowę, rozbudowę i przeniesienie istniejącej sieci i obiektów infrastruktury technicznej, kolidujących z </w:t>
            </w:r>
          </w:p>
          <w:p w14:paraId="51DA568E"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projektowaną zabudową, obiektami i </w:t>
            </w:r>
          </w:p>
          <w:p w14:paraId="40377288"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zagospodarowaniem terenu; </w:t>
            </w:r>
          </w:p>
          <w:p w14:paraId="2A31A94B" w14:textId="77777777" w:rsidR="008F4C12" w:rsidRPr="00F544A9" w:rsidRDefault="008F4C12" w:rsidP="008F4C12">
            <w:pPr>
              <w:spacing w:after="0" w:line="240" w:lineRule="auto"/>
              <w:jc w:val="both"/>
              <w:rPr>
                <w:rFonts w:ascii="Times New Roman" w:eastAsia="Times New Roman" w:hAnsi="Times New Roman" w:cs="Times New Roman"/>
                <w:color w:val="00B050"/>
                <w:sz w:val="20"/>
                <w:szCs w:val="20"/>
              </w:rPr>
            </w:pPr>
            <w:r w:rsidRPr="00F544A9">
              <w:rPr>
                <w:rFonts w:ascii="Times New Roman" w:eastAsia="Times New Roman" w:hAnsi="Times New Roman" w:cs="Times New Roman"/>
                <w:color w:val="00B050"/>
                <w:sz w:val="20"/>
                <w:szCs w:val="20"/>
              </w:rPr>
              <w:t xml:space="preserve">e) dopuszcza się skablowanie istniejących sieci telekomunikacyjnych. </w:t>
            </w:r>
          </w:p>
          <w:p w14:paraId="4E386C93" w14:textId="77777777" w:rsidR="00AD5AC5" w:rsidRPr="00D01837" w:rsidRDefault="008F4C12" w:rsidP="008F4C12">
            <w:pPr>
              <w:spacing w:after="0" w:line="240" w:lineRule="auto"/>
              <w:jc w:val="both"/>
              <w:rPr>
                <w:rFonts w:ascii="Times New Roman" w:eastAsia="Times New Roman" w:hAnsi="Times New Roman" w:cs="Times New Roman"/>
                <w:sz w:val="20"/>
                <w:szCs w:val="20"/>
              </w:rPr>
            </w:pPr>
            <w:r w:rsidRPr="00F544A9">
              <w:rPr>
                <w:rFonts w:ascii="Times New Roman" w:eastAsia="Times New Roman" w:hAnsi="Times New Roman" w:cs="Times New Roman"/>
                <w:color w:val="00B050"/>
                <w:sz w:val="20"/>
                <w:szCs w:val="20"/>
              </w:rPr>
              <w:t>VIII. Zasady z zakresu gospodarki odpadami zgodnie z przepisami odrębnymi.</w:t>
            </w:r>
          </w:p>
        </w:tc>
      </w:tr>
      <w:tr w:rsidR="00D01837" w:rsidRPr="00D01837" w14:paraId="250AE3BE" w14:textId="77777777">
        <w:trPr>
          <w:trHeight w:val="288"/>
        </w:trPr>
        <w:tc>
          <w:tcPr>
            <w:tcW w:w="2810" w:type="dxa"/>
            <w:vMerge w:val="restart"/>
            <w:shd w:val="clear" w:color="auto" w:fill="F3F3F3"/>
          </w:tcPr>
          <w:p w14:paraId="4B4498C8" w14:textId="77777777" w:rsidR="00AD5AC5" w:rsidRPr="00D01837" w:rsidRDefault="00AD5AC5" w:rsidP="003426C4">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lastRenderedPageBreak/>
              <w:t>Ustalenia obowiązującego miejscowego planu zagospodarowania przestrzennego dla działek lub ich fragmentów, znajdujących się w odległości do 100 m od granicy terenu objętego przedsięwzięciem deweloperskim lub zadaniem inwestycyjnym</w:t>
            </w:r>
          </w:p>
        </w:tc>
        <w:tc>
          <w:tcPr>
            <w:tcW w:w="3419" w:type="dxa"/>
            <w:shd w:val="clear" w:color="auto" w:fill="auto"/>
          </w:tcPr>
          <w:p w14:paraId="21A5FE0F"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Przeznaczenie terenu</w:t>
            </w:r>
          </w:p>
        </w:tc>
        <w:tc>
          <w:tcPr>
            <w:tcW w:w="3419" w:type="dxa"/>
            <w:shd w:val="clear" w:color="auto" w:fill="auto"/>
          </w:tcPr>
          <w:p w14:paraId="78105146" w14:textId="77777777" w:rsidR="00AD5AC5" w:rsidRPr="00D01837" w:rsidRDefault="00AD5AC5" w:rsidP="000F1A65">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Teren zabudowy mieszkaniowo-usługowej oznaczone na Planie symbolem M</w:t>
            </w:r>
            <w:r w:rsidR="000F1A65">
              <w:rPr>
                <w:rFonts w:ascii="Times New Roman" w:eastAsia="Times New Roman" w:hAnsi="Times New Roman" w:cs="Times New Roman"/>
                <w:sz w:val="20"/>
                <w:szCs w:val="20"/>
              </w:rPr>
              <w:t>N</w:t>
            </w:r>
            <w:r w:rsidRPr="00D01837">
              <w:rPr>
                <w:rFonts w:ascii="Times New Roman" w:eastAsia="Times New Roman" w:hAnsi="Times New Roman" w:cs="Times New Roman"/>
                <w:sz w:val="20"/>
                <w:szCs w:val="20"/>
              </w:rPr>
              <w:t>U</w:t>
            </w:r>
            <w:r w:rsidR="000042D1" w:rsidRPr="00D01837">
              <w:rPr>
                <w:rFonts w:ascii="Times New Roman" w:eastAsia="Times New Roman" w:hAnsi="Times New Roman" w:cs="Times New Roman"/>
                <w:sz w:val="20"/>
                <w:szCs w:val="20"/>
              </w:rPr>
              <w:t xml:space="preserve"> </w:t>
            </w:r>
          </w:p>
        </w:tc>
      </w:tr>
      <w:tr w:rsidR="00D01837" w:rsidRPr="00D01837" w14:paraId="33A2C6C3" w14:textId="77777777">
        <w:trPr>
          <w:trHeight w:val="288"/>
        </w:trPr>
        <w:tc>
          <w:tcPr>
            <w:tcW w:w="2810" w:type="dxa"/>
            <w:vMerge/>
            <w:shd w:val="clear" w:color="auto" w:fill="F3F3F3"/>
          </w:tcPr>
          <w:p w14:paraId="2DCFA67F"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12333200"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Maksymalna i minimalna intensywność zabudowy</w:t>
            </w:r>
          </w:p>
        </w:tc>
        <w:tc>
          <w:tcPr>
            <w:tcW w:w="3419" w:type="dxa"/>
            <w:shd w:val="clear" w:color="auto" w:fill="auto"/>
          </w:tcPr>
          <w:p w14:paraId="5111F800" w14:textId="77777777" w:rsidR="00AD5AC5" w:rsidRPr="00D01837" w:rsidRDefault="00EC7810" w:rsidP="00AD5AC5">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Wskaźnik minimalnej inwestycji zabudowy 0,01,</w:t>
            </w:r>
          </w:p>
          <w:p w14:paraId="3963F536" w14:textId="77777777" w:rsidR="00EC7810" w:rsidRPr="00D01837" w:rsidRDefault="00EC7810" w:rsidP="00AD5AC5">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Wskaźnik maksymalnej intensywności zabudowy – 0,</w:t>
            </w:r>
            <w:r w:rsidR="000F1A65">
              <w:rPr>
                <w:rFonts w:ascii="Times New Roman" w:eastAsia="Times New Roman" w:hAnsi="Times New Roman" w:cs="Times New Roman"/>
                <w:sz w:val="20"/>
                <w:szCs w:val="20"/>
              </w:rPr>
              <w:t>7</w:t>
            </w:r>
            <w:r w:rsidRPr="00D01837">
              <w:rPr>
                <w:rFonts w:ascii="Times New Roman" w:eastAsia="Times New Roman" w:hAnsi="Times New Roman" w:cs="Times New Roman"/>
                <w:sz w:val="20"/>
                <w:szCs w:val="20"/>
              </w:rPr>
              <w:t>5,</w:t>
            </w:r>
          </w:p>
          <w:p w14:paraId="4AC2F0F5" w14:textId="77777777" w:rsidR="00AD5AC5" w:rsidRPr="00D01837" w:rsidRDefault="00AD5AC5" w:rsidP="00AD5AC5">
            <w:pPr>
              <w:spacing w:before="144" w:after="144" w:line="240" w:lineRule="auto"/>
              <w:rPr>
                <w:rFonts w:ascii="Times New Roman" w:eastAsia="Times New Roman" w:hAnsi="Times New Roman" w:cs="Times New Roman"/>
                <w:sz w:val="20"/>
                <w:szCs w:val="20"/>
              </w:rPr>
            </w:pPr>
          </w:p>
        </w:tc>
      </w:tr>
      <w:tr w:rsidR="00D01837" w:rsidRPr="00D01837" w14:paraId="166D1D32" w14:textId="77777777">
        <w:trPr>
          <w:trHeight w:val="288"/>
        </w:trPr>
        <w:tc>
          <w:tcPr>
            <w:tcW w:w="2810" w:type="dxa"/>
            <w:vMerge/>
            <w:shd w:val="clear" w:color="auto" w:fill="F3F3F3"/>
          </w:tcPr>
          <w:p w14:paraId="06B005ED"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29E01BD5"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Maksymalna wysokość zabudowy</w:t>
            </w:r>
          </w:p>
        </w:tc>
        <w:tc>
          <w:tcPr>
            <w:tcW w:w="3419" w:type="dxa"/>
            <w:shd w:val="clear" w:color="auto" w:fill="auto"/>
          </w:tcPr>
          <w:p w14:paraId="15987FD7" w14:textId="77777777" w:rsidR="00AD5AC5" w:rsidRPr="00D01837" w:rsidRDefault="00AD5AC5" w:rsidP="00AD5AC5">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Zabudowa mieszkaniowe </w:t>
            </w:r>
            <w:r w:rsidR="000042D1" w:rsidRPr="00D01837">
              <w:rPr>
                <w:rFonts w:ascii="Times New Roman" w:eastAsia="Times New Roman" w:hAnsi="Times New Roman" w:cs="Times New Roman"/>
                <w:sz w:val="20"/>
                <w:szCs w:val="20"/>
              </w:rPr>
              <w:t xml:space="preserve">3 </w:t>
            </w:r>
            <w:r w:rsidRPr="00D01837">
              <w:rPr>
                <w:rFonts w:ascii="Times New Roman" w:eastAsia="Times New Roman" w:hAnsi="Times New Roman" w:cs="Times New Roman"/>
                <w:sz w:val="20"/>
                <w:szCs w:val="20"/>
              </w:rPr>
              <w:t xml:space="preserve">kondygnacji, zabudowa usługowa </w:t>
            </w:r>
            <w:r w:rsidR="000042D1" w:rsidRPr="00D01837">
              <w:rPr>
                <w:rFonts w:ascii="Times New Roman" w:eastAsia="Times New Roman" w:hAnsi="Times New Roman" w:cs="Times New Roman"/>
                <w:sz w:val="20"/>
                <w:szCs w:val="20"/>
              </w:rPr>
              <w:t>3</w:t>
            </w:r>
            <w:r w:rsidRPr="00D01837">
              <w:rPr>
                <w:rFonts w:ascii="Times New Roman" w:eastAsia="Times New Roman" w:hAnsi="Times New Roman" w:cs="Times New Roman"/>
                <w:sz w:val="20"/>
                <w:szCs w:val="20"/>
              </w:rPr>
              <w:t xml:space="preserve"> kondygnacji</w:t>
            </w:r>
          </w:p>
        </w:tc>
      </w:tr>
      <w:tr w:rsidR="00D01837" w:rsidRPr="00D01837" w14:paraId="71DF364B" w14:textId="77777777">
        <w:trPr>
          <w:trHeight w:val="288"/>
        </w:trPr>
        <w:tc>
          <w:tcPr>
            <w:tcW w:w="2810" w:type="dxa"/>
            <w:vMerge/>
            <w:shd w:val="clear" w:color="auto" w:fill="F3F3F3"/>
          </w:tcPr>
          <w:p w14:paraId="7305C294"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3F06A98B"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Minimalny udział procentowy powierzchni biologicznie czynnej</w:t>
            </w:r>
          </w:p>
        </w:tc>
        <w:tc>
          <w:tcPr>
            <w:tcW w:w="3419" w:type="dxa"/>
            <w:shd w:val="clear" w:color="auto" w:fill="auto"/>
          </w:tcPr>
          <w:p w14:paraId="7DA3040C" w14:textId="77777777" w:rsidR="00AD5AC5" w:rsidRPr="0046674B" w:rsidRDefault="0046674B" w:rsidP="0046674B">
            <w:pPr>
              <w:spacing w:before="144" w:after="144" w:line="240" w:lineRule="auto"/>
              <w:rPr>
                <w:rFonts w:ascii="Times New Roman" w:eastAsia="Times New Roman" w:hAnsi="Times New Roman" w:cs="Times New Roman"/>
                <w:color w:val="00B050"/>
                <w:sz w:val="20"/>
                <w:szCs w:val="20"/>
              </w:rPr>
            </w:pPr>
            <w:r w:rsidRPr="0046674B">
              <w:rPr>
                <w:rFonts w:ascii="Times New Roman" w:eastAsia="Times New Roman" w:hAnsi="Times New Roman" w:cs="Times New Roman"/>
                <w:color w:val="00B050"/>
                <w:sz w:val="20"/>
                <w:szCs w:val="20"/>
              </w:rPr>
              <w:t xml:space="preserve">Minimalny udział procentowy powierzchni biologicznie czynnej w odniesieniu do </w:t>
            </w:r>
            <w:proofErr w:type="gramStart"/>
            <w:r w:rsidRPr="0046674B">
              <w:rPr>
                <w:rFonts w:ascii="Times New Roman" w:eastAsia="Times New Roman" w:hAnsi="Times New Roman" w:cs="Times New Roman"/>
                <w:color w:val="00B050"/>
                <w:sz w:val="20"/>
                <w:szCs w:val="20"/>
              </w:rPr>
              <w:t xml:space="preserve">powierzchni </w:t>
            </w:r>
            <w:r>
              <w:rPr>
                <w:rFonts w:ascii="Times New Roman" w:eastAsia="Times New Roman" w:hAnsi="Times New Roman" w:cs="Times New Roman"/>
                <w:color w:val="00B050"/>
                <w:sz w:val="20"/>
                <w:szCs w:val="20"/>
              </w:rPr>
              <w:t xml:space="preserve"> </w:t>
            </w:r>
            <w:r w:rsidRPr="0046674B">
              <w:rPr>
                <w:rFonts w:ascii="Times New Roman" w:eastAsia="Times New Roman" w:hAnsi="Times New Roman" w:cs="Times New Roman"/>
                <w:color w:val="00B050"/>
                <w:sz w:val="20"/>
                <w:szCs w:val="20"/>
              </w:rPr>
              <w:t>działki</w:t>
            </w:r>
            <w:proofErr w:type="gramEnd"/>
            <w:r w:rsidRPr="0046674B">
              <w:rPr>
                <w:rFonts w:ascii="Times New Roman" w:eastAsia="Times New Roman" w:hAnsi="Times New Roman" w:cs="Times New Roman"/>
                <w:color w:val="00B050"/>
                <w:sz w:val="20"/>
                <w:szCs w:val="20"/>
              </w:rPr>
              <w:t xml:space="preserve"> budowlanej – 30 %;</w:t>
            </w:r>
          </w:p>
        </w:tc>
      </w:tr>
      <w:tr w:rsidR="00D01837" w:rsidRPr="00D01837" w14:paraId="2D5DBD01" w14:textId="77777777">
        <w:trPr>
          <w:trHeight w:val="288"/>
        </w:trPr>
        <w:tc>
          <w:tcPr>
            <w:tcW w:w="2810" w:type="dxa"/>
            <w:vMerge/>
            <w:shd w:val="clear" w:color="auto" w:fill="F3F3F3"/>
          </w:tcPr>
          <w:p w14:paraId="1B32D7DB"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088FA2BC"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Minimalna liczba miejsc do parkowania</w:t>
            </w:r>
          </w:p>
        </w:tc>
        <w:tc>
          <w:tcPr>
            <w:tcW w:w="3419" w:type="dxa"/>
            <w:shd w:val="clear" w:color="auto" w:fill="auto"/>
          </w:tcPr>
          <w:p w14:paraId="0962C64A" w14:textId="77777777" w:rsidR="00AD5AC5" w:rsidRPr="0046674B" w:rsidRDefault="00AD5AC5" w:rsidP="00AD5AC5">
            <w:pPr>
              <w:spacing w:before="144" w:after="144" w:line="240" w:lineRule="auto"/>
              <w:rPr>
                <w:rFonts w:ascii="Times New Roman" w:eastAsia="Times New Roman" w:hAnsi="Times New Roman" w:cs="Times New Roman"/>
                <w:color w:val="00B050"/>
                <w:sz w:val="20"/>
                <w:szCs w:val="20"/>
              </w:rPr>
            </w:pPr>
            <w:r w:rsidRPr="0046674B">
              <w:rPr>
                <w:rFonts w:ascii="Times New Roman" w:eastAsia="Times New Roman" w:hAnsi="Times New Roman" w:cs="Times New Roman"/>
                <w:color w:val="00B050"/>
                <w:sz w:val="20"/>
                <w:szCs w:val="20"/>
              </w:rPr>
              <w:t xml:space="preserve">Dwa miejsca parkingowe dla lokalu, dla wszystkich </w:t>
            </w:r>
            <w:r w:rsidR="000042D1" w:rsidRPr="0046674B">
              <w:rPr>
                <w:rFonts w:ascii="Times New Roman" w:eastAsia="Times New Roman" w:hAnsi="Times New Roman" w:cs="Times New Roman"/>
                <w:color w:val="00B050"/>
                <w:sz w:val="20"/>
                <w:szCs w:val="20"/>
              </w:rPr>
              <w:t>nowo wznoszonych</w:t>
            </w:r>
            <w:r w:rsidRPr="0046674B">
              <w:rPr>
                <w:rFonts w:ascii="Times New Roman" w:eastAsia="Times New Roman" w:hAnsi="Times New Roman" w:cs="Times New Roman"/>
                <w:color w:val="00B050"/>
                <w:sz w:val="20"/>
                <w:szCs w:val="20"/>
              </w:rPr>
              <w:t xml:space="preserve"> obiektów powinny być zlokalizowane na terenie posesji, na której obiekt będzie wznoszony.</w:t>
            </w:r>
          </w:p>
        </w:tc>
      </w:tr>
      <w:tr w:rsidR="00D01837" w:rsidRPr="00D01837" w14:paraId="5B66C947" w14:textId="77777777" w:rsidTr="002A1178">
        <w:trPr>
          <w:trHeight w:val="753"/>
        </w:trPr>
        <w:tc>
          <w:tcPr>
            <w:tcW w:w="2810" w:type="dxa"/>
            <w:vMerge w:val="restart"/>
            <w:shd w:val="clear" w:color="auto" w:fill="F3F3F3"/>
          </w:tcPr>
          <w:p w14:paraId="0028AB14" w14:textId="77777777" w:rsidR="00AD5AC5" w:rsidRPr="00D01837" w:rsidRDefault="00AD5AC5" w:rsidP="00AD5AC5">
            <w:pPr>
              <w:widowControl w:val="0"/>
              <w:spacing w:after="0"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Ustalenia decyzji o warunkach zabudowy albo decyzji o ustaleniu lokalizacji inwestycji celu publicznego dla terenu objętego przedsięwzięciem deweloperskim lub zadaniem inwestycyjnym w przypadku </w:t>
            </w:r>
            <w:r w:rsidRPr="00D01837">
              <w:rPr>
                <w:rFonts w:ascii="Times New Roman" w:eastAsia="Times New Roman" w:hAnsi="Times New Roman" w:cs="Times New Roman"/>
                <w:sz w:val="20"/>
                <w:szCs w:val="20"/>
              </w:rPr>
              <w:lastRenderedPageBreak/>
              <w:t>braku miejscowego planu zagospodarowania przestrzennego</w:t>
            </w:r>
          </w:p>
          <w:p w14:paraId="3337DE55" w14:textId="77777777" w:rsidR="00AD5AC5" w:rsidRPr="00D01837" w:rsidRDefault="00AD5AC5" w:rsidP="00AD5AC5">
            <w:pPr>
              <w:widowControl w:val="0"/>
              <w:spacing w:after="0" w:line="240" w:lineRule="auto"/>
              <w:rPr>
                <w:rFonts w:ascii="Times New Roman" w:eastAsia="Times New Roman" w:hAnsi="Times New Roman" w:cs="Times New Roman"/>
                <w:sz w:val="20"/>
                <w:szCs w:val="20"/>
              </w:rPr>
            </w:pPr>
          </w:p>
          <w:p w14:paraId="015921F9"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p>
        </w:tc>
        <w:tc>
          <w:tcPr>
            <w:tcW w:w="3419" w:type="dxa"/>
            <w:shd w:val="clear" w:color="auto" w:fill="auto"/>
          </w:tcPr>
          <w:p w14:paraId="53790D12"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lastRenderedPageBreak/>
              <w:t>Funkcja zabudowy i zagospodarowania terenu</w:t>
            </w:r>
          </w:p>
        </w:tc>
        <w:tc>
          <w:tcPr>
            <w:tcW w:w="3419" w:type="dxa"/>
            <w:shd w:val="clear" w:color="auto" w:fill="auto"/>
          </w:tcPr>
          <w:p w14:paraId="65F74D8B"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Nie dotyczy</w:t>
            </w:r>
          </w:p>
        </w:tc>
      </w:tr>
      <w:tr w:rsidR="00D01837" w:rsidRPr="00D01837" w14:paraId="1BD59C23" w14:textId="77777777">
        <w:trPr>
          <w:trHeight w:val="181"/>
        </w:trPr>
        <w:tc>
          <w:tcPr>
            <w:tcW w:w="2810" w:type="dxa"/>
            <w:vMerge/>
            <w:shd w:val="clear" w:color="auto" w:fill="F3F3F3"/>
          </w:tcPr>
          <w:p w14:paraId="11448555"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6838" w:type="dxa"/>
            <w:gridSpan w:val="2"/>
            <w:shd w:val="clear" w:color="auto" w:fill="auto"/>
          </w:tcPr>
          <w:p w14:paraId="0CBBCDDF"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Cechy zabudowy i zagospodarowania terenu:</w:t>
            </w:r>
          </w:p>
        </w:tc>
      </w:tr>
      <w:tr w:rsidR="00D01837" w:rsidRPr="00D01837" w14:paraId="4ABF4F7F" w14:textId="77777777">
        <w:trPr>
          <w:trHeight w:val="181"/>
        </w:trPr>
        <w:tc>
          <w:tcPr>
            <w:tcW w:w="2810" w:type="dxa"/>
            <w:vMerge/>
            <w:shd w:val="clear" w:color="auto" w:fill="F3F3F3"/>
          </w:tcPr>
          <w:p w14:paraId="6CD3A010"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0DB06C3E"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gabaryty</w:t>
            </w:r>
          </w:p>
        </w:tc>
        <w:tc>
          <w:tcPr>
            <w:tcW w:w="3419" w:type="dxa"/>
            <w:shd w:val="clear" w:color="auto" w:fill="auto"/>
          </w:tcPr>
          <w:p w14:paraId="443545B0"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Nie dotyczy</w:t>
            </w:r>
          </w:p>
        </w:tc>
      </w:tr>
      <w:tr w:rsidR="00D01837" w:rsidRPr="00D01837" w14:paraId="238B6C69" w14:textId="77777777">
        <w:trPr>
          <w:trHeight w:val="181"/>
        </w:trPr>
        <w:tc>
          <w:tcPr>
            <w:tcW w:w="2810" w:type="dxa"/>
            <w:vMerge/>
            <w:shd w:val="clear" w:color="auto" w:fill="F3F3F3"/>
          </w:tcPr>
          <w:p w14:paraId="28599DD2"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11083D3C"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forma architektoniczna</w:t>
            </w:r>
          </w:p>
        </w:tc>
        <w:tc>
          <w:tcPr>
            <w:tcW w:w="3419" w:type="dxa"/>
            <w:shd w:val="clear" w:color="auto" w:fill="auto"/>
          </w:tcPr>
          <w:p w14:paraId="0421E644"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Nie dotyczy</w:t>
            </w:r>
          </w:p>
        </w:tc>
      </w:tr>
      <w:tr w:rsidR="00D01837" w:rsidRPr="00D01837" w14:paraId="6E7C40D6" w14:textId="77777777">
        <w:trPr>
          <w:trHeight w:val="181"/>
        </w:trPr>
        <w:tc>
          <w:tcPr>
            <w:tcW w:w="2810" w:type="dxa"/>
            <w:vMerge/>
            <w:shd w:val="clear" w:color="auto" w:fill="F3F3F3"/>
          </w:tcPr>
          <w:p w14:paraId="36CACA57"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1CC14F6A"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usytuowanie linii zabudowy</w:t>
            </w:r>
          </w:p>
        </w:tc>
        <w:tc>
          <w:tcPr>
            <w:tcW w:w="3419" w:type="dxa"/>
            <w:shd w:val="clear" w:color="auto" w:fill="auto"/>
          </w:tcPr>
          <w:p w14:paraId="3F1046E3"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Nie dotyczy</w:t>
            </w:r>
          </w:p>
        </w:tc>
      </w:tr>
      <w:tr w:rsidR="00D01837" w:rsidRPr="00D01837" w14:paraId="4F67AED0" w14:textId="77777777">
        <w:trPr>
          <w:trHeight w:val="181"/>
        </w:trPr>
        <w:tc>
          <w:tcPr>
            <w:tcW w:w="2810" w:type="dxa"/>
            <w:vMerge/>
            <w:shd w:val="clear" w:color="auto" w:fill="F3F3F3"/>
          </w:tcPr>
          <w:p w14:paraId="2FD051CC"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65DEC2EB"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intensywność wykorzystania terenu</w:t>
            </w:r>
          </w:p>
        </w:tc>
        <w:tc>
          <w:tcPr>
            <w:tcW w:w="3419" w:type="dxa"/>
            <w:shd w:val="clear" w:color="auto" w:fill="auto"/>
          </w:tcPr>
          <w:p w14:paraId="2DE899F9"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Nie dotyczy</w:t>
            </w:r>
          </w:p>
        </w:tc>
      </w:tr>
      <w:tr w:rsidR="00D01837" w:rsidRPr="00D01837" w14:paraId="2F45FA91" w14:textId="77777777">
        <w:trPr>
          <w:trHeight w:val="181"/>
        </w:trPr>
        <w:tc>
          <w:tcPr>
            <w:tcW w:w="2810" w:type="dxa"/>
            <w:vMerge/>
            <w:shd w:val="clear" w:color="auto" w:fill="F3F3F3"/>
          </w:tcPr>
          <w:p w14:paraId="57AA34BB"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37B5DB9A"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warunki ochrony środowiska i zdrowia ludzi, przyrody i krajobrazu</w:t>
            </w:r>
          </w:p>
        </w:tc>
        <w:tc>
          <w:tcPr>
            <w:tcW w:w="3419" w:type="dxa"/>
            <w:shd w:val="clear" w:color="auto" w:fill="auto"/>
          </w:tcPr>
          <w:p w14:paraId="56B66B7A"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Nie dotyczy</w:t>
            </w:r>
          </w:p>
        </w:tc>
      </w:tr>
      <w:tr w:rsidR="00D01837" w:rsidRPr="00D01837" w14:paraId="2D48B7B3" w14:textId="77777777">
        <w:trPr>
          <w:trHeight w:val="181"/>
        </w:trPr>
        <w:tc>
          <w:tcPr>
            <w:tcW w:w="2810" w:type="dxa"/>
            <w:vMerge/>
            <w:shd w:val="clear" w:color="auto" w:fill="F3F3F3"/>
          </w:tcPr>
          <w:p w14:paraId="2AAA5EF3"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650954AF"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wymagania dotyczące zabudowy i zagospodarowania terenu położonego na obszarach szczególnego zagrożenia powodzią</w:t>
            </w:r>
          </w:p>
        </w:tc>
        <w:tc>
          <w:tcPr>
            <w:tcW w:w="3419" w:type="dxa"/>
            <w:shd w:val="clear" w:color="auto" w:fill="auto"/>
          </w:tcPr>
          <w:p w14:paraId="3202B78F"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Nie dotyczy</w:t>
            </w:r>
          </w:p>
        </w:tc>
      </w:tr>
      <w:tr w:rsidR="00D01837" w:rsidRPr="00D01837" w14:paraId="385E1900" w14:textId="77777777">
        <w:trPr>
          <w:trHeight w:val="181"/>
        </w:trPr>
        <w:tc>
          <w:tcPr>
            <w:tcW w:w="2810" w:type="dxa"/>
            <w:vMerge/>
            <w:shd w:val="clear" w:color="auto" w:fill="F3F3F3"/>
          </w:tcPr>
          <w:p w14:paraId="59BC2432"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21C567A9"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warunki ochrony dziedzictwa kulturowego i zabytków oraz dóbr kultury współczesnej</w:t>
            </w:r>
          </w:p>
        </w:tc>
        <w:tc>
          <w:tcPr>
            <w:tcW w:w="3419" w:type="dxa"/>
            <w:shd w:val="clear" w:color="auto" w:fill="auto"/>
          </w:tcPr>
          <w:p w14:paraId="2D267B8A"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Nie dotyczy</w:t>
            </w:r>
          </w:p>
        </w:tc>
      </w:tr>
      <w:tr w:rsidR="00D01837" w:rsidRPr="00D01837" w14:paraId="65ACDB62" w14:textId="77777777">
        <w:trPr>
          <w:trHeight w:val="181"/>
        </w:trPr>
        <w:tc>
          <w:tcPr>
            <w:tcW w:w="2810" w:type="dxa"/>
            <w:vMerge/>
            <w:shd w:val="clear" w:color="auto" w:fill="F3F3F3"/>
          </w:tcPr>
          <w:p w14:paraId="0CF1F3DD"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3925171D"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wymagania dotyczące ochrony innych terenów lub obiektów podlegających ochronie na podstawie przepisów odrębnych</w:t>
            </w:r>
          </w:p>
        </w:tc>
        <w:tc>
          <w:tcPr>
            <w:tcW w:w="3419" w:type="dxa"/>
            <w:shd w:val="clear" w:color="auto" w:fill="auto"/>
          </w:tcPr>
          <w:p w14:paraId="5EF4855B"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Nie dotyczy</w:t>
            </w:r>
          </w:p>
        </w:tc>
      </w:tr>
      <w:tr w:rsidR="00D01837" w:rsidRPr="00D01837" w14:paraId="12175FE5" w14:textId="77777777">
        <w:trPr>
          <w:trHeight w:val="181"/>
        </w:trPr>
        <w:tc>
          <w:tcPr>
            <w:tcW w:w="2810" w:type="dxa"/>
            <w:vMerge/>
            <w:shd w:val="clear" w:color="auto" w:fill="F3F3F3"/>
          </w:tcPr>
          <w:p w14:paraId="33692AF3"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64A178C7"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warunki i szczegółowe zasady obsługi w zakresie komunikacji</w:t>
            </w:r>
          </w:p>
        </w:tc>
        <w:tc>
          <w:tcPr>
            <w:tcW w:w="3419" w:type="dxa"/>
            <w:shd w:val="clear" w:color="auto" w:fill="auto"/>
          </w:tcPr>
          <w:p w14:paraId="21A35598"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Nie dotyczy</w:t>
            </w:r>
          </w:p>
        </w:tc>
      </w:tr>
      <w:tr w:rsidR="00D01837" w:rsidRPr="00D01837" w14:paraId="3DB9E5AF" w14:textId="77777777">
        <w:trPr>
          <w:trHeight w:val="181"/>
        </w:trPr>
        <w:tc>
          <w:tcPr>
            <w:tcW w:w="2810" w:type="dxa"/>
            <w:vMerge/>
            <w:shd w:val="clear" w:color="auto" w:fill="F3F3F3"/>
          </w:tcPr>
          <w:p w14:paraId="25C68618"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4C131F82"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warunki i szczegółowe zasady obsługi w zakresie infrastruktury technicznej</w:t>
            </w:r>
          </w:p>
        </w:tc>
        <w:tc>
          <w:tcPr>
            <w:tcW w:w="3419" w:type="dxa"/>
            <w:shd w:val="clear" w:color="auto" w:fill="auto"/>
          </w:tcPr>
          <w:p w14:paraId="14ACA16F"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Nie dotyczy</w:t>
            </w:r>
          </w:p>
        </w:tc>
      </w:tr>
      <w:tr w:rsidR="00D01837" w:rsidRPr="00D01837" w14:paraId="4A4A3C49" w14:textId="77777777">
        <w:trPr>
          <w:trHeight w:val="73"/>
        </w:trPr>
        <w:tc>
          <w:tcPr>
            <w:tcW w:w="2810" w:type="dxa"/>
            <w:vMerge w:val="restart"/>
            <w:shd w:val="clear" w:color="auto" w:fill="F3F3F3"/>
          </w:tcPr>
          <w:p w14:paraId="1FAD338F" w14:textId="77777777" w:rsidR="00AD5AC5" w:rsidRPr="00D01837" w:rsidRDefault="00AD5AC5" w:rsidP="00AD5AC5">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Informacje dotyczące przewidzianych inwestycji w promieniu 1 km od przedmiotowej nieruchomości, zawarte w:</w:t>
            </w:r>
          </w:p>
          <w:p w14:paraId="529FA547" w14:textId="77777777" w:rsidR="00AD5AC5" w:rsidRPr="00D01837" w:rsidRDefault="00AD5AC5" w:rsidP="00AD5AC5">
            <w:pPr>
              <w:widowControl w:val="0"/>
              <w:spacing w:after="0" w:line="240" w:lineRule="auto"/>
              <w:rPr>
                <w:rFonts w:ascii="Times New Roman" w:eastAsia="Times New Roman" w:hAnsi="Times New Roman" w:cs="Times New Roman"/>
                <w:sz w:val="20"/>
                <w:szCs w:val="20"/>
              </w:rPr>
            </w:pPr>
          </w:p>
        </w:tc>
        <w:tc>
          <w:tcPr>
            <w:tcW w:w="3419" w:type="dxa"/>
            <w:shd w:val="clear" w:color="auto" w:fill="auto"/>
          </w:tcPr>
          <w:p w14:paraId="519474B3"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miejscowych planach zagospodarowania przestrzennego</w:t>
            </w:r>
          </w:p>
        </w:tc>
        <w:tc>
          <w:tcPr>
            <w:tcW w:w="3419" w:type="dxa"/>
            <w:shd w:val="clear" w:color="auto" w:fill="auto"/>
          </w:tcPr>
          <w:p w14:paraId="474DE40C" w14:textId="77777777" w:rsidR="00AD5AC5" w:rsidRPr="00E81AB9" w:rsidRDefault="00AD5AC5" w:rsidP="00AD5AC5">
            <w:pPr>
              <w:spacing w:before="144" w:after="144" w:line="240" w:lineRule="auto"/>
              <w:jc w:val="both"/>
              <w:rPr>
                <w:rFonts w:ascii="Times New Roman" w:eastAsia="Times New Roman" w:hAnsi="Times New Roman" w:cs="Times New Roman"/>
                <w:color w:val="00B050"/>
                <w:sz w:val="20"/>
                <w:szCs w:val="20"/>
              </w:rPr>
            </w:pPr>
            <w:r w:rsidRPr="00E81AB9">
              <w:rPr>
                <w:rFonts w:ascii="Times New Roman" w:eastAsia="Times New Roman" w:hAnsi="Times New Roman" w:cs="Times New Roman"/>
                <w:color w:val="00B050"/>
                <w:sz w:val="20"/>
                <w:szCs w:val="20"/>
              </w:rPr>
              <w:t>W promieniu 1 km. od dział</w:t>
            </w:r>
            <w:r w:rsidR="00DE2167" w:rsidRPr="00E81AB9">
              <w:rPr>
                <w:rFonts w:ascii="Times New Roman" w:eastAsia="Times New Roman" w:hAnsi="Times New Roman" w:cs="Times New Roman"/>
                <w:color w:val="00B050"/>
                <w:sz w:val="20"/>
                <w:szCs w:val="20"/>
              </w:rPr>
              <w:t>ki</w:t>
            </w:r>
            <w:r w:rsidR="00B0272B" w:rsidRPr="00E81AB9">
              <w:rPr>
                <w:rFonts w:ascii="Times New Roman" w:eastAsia="Times New Roman" w:hAnsi="Times New Roman" w:cs="Times New Roman"/>
                <w:color w:val="00B050"/>
                <w:sz w:val="20"/>
                <w:szCs w:val="20"/>
              </w:rPr>
              <w:t xml:space="preserve"> </w:t>
            </w:r>
            <w:r w:rsidR="00E81AB9" w:rsidRPr="00E81AB9">
              <w:rPr>
                <w:rFonts w:ascii="Times New Roman" w:eastAsia="Times New Roman" w:hAnsi="Times New Roman" w:cs="Times New Roman"/>
                <w:color w:val="00B050"/>
                <w:sz w:val="20"/>
                <w:szCs w:val="20"/>
              </w:rPr>
              <w:t>67</w:t>
            </w:r>
            <w:r w:rsidRPr="00E81AB9">
              <w:rPr>
                <w:rFonts w:ascii="Times New Roman" w:eastAsia="Times New Roman" w:hAnsi="Times New Roman" w:cs="Times New Roman"/>
                <w:color w:val="00B050"/>
                <w:sz w:val="20"/>
                <w:szCs w:val="20"/>
              </w:rPr>
              <w:t xml:space="preserve"> z obrębu </w:t>
            </w:r>
            <w:r w:rsidR="00E81AB9" w:rsidRPr="00E81AB9">
              <w:rPr>
                <w:rFonts w:ascii="Times New Roman" w:eastAsia="Times New Roman" w:hAnsi="Times New Roman" w:cs="Times New Roman"/>
                <w:color w:val="00B050"/>
                <w:sz w:val="20"/>
                <w:szCs w:val="20"/>
              </w:rPr>
              <w:t>06</w:t>
            </w:r>
            <w:r w:rsidRPr="00E81AB9">
              <w:rPr>
                <w:rFonts w:ascii="Times New Roman" w:eastAsia="Times New Roman" w:hAnsi="Times New Roman" w:cs="Times New Roman"/>
                <w:color w:val="00B050"/>
                <w:sz w:val="20"/>
                <w:szCs w:val="20"/>
              </w:rPr>
              <w:t>, 05-</w:t>
            </w:r>
            <w:r w:rsidR="00DE2167" w:rsidRPr="00E81AB9">
              <w:rPr>
                <w:rFonts w:ascii="Times New Roman" w:eastAsia="Times New Roman" w:hAnsi="Times New Roman" w:cs="Times New Roman"/>
                <w:color w:val="00B050"/>
                <w:sz w:val="20"/>
                <w:szCs w:val="20"/>
              </w:rPr>
              <w:t>230</w:t>
            </w:r>
            <w:r w:rsidR="00B0272B" w:rsidRPr="00E81AB9">
              <w:rPr>
                <w:rFonts w:ascii="Times New Roman" w:eastAsia="Times New Roman" w:hAnsi="Times New Roman" w:cs="Times New Roman"/>
                <w:color w:val="00B050"/>
                <w:sz w:val="20"/>
                <w:szCs w:val="20"/>
              </w:rPr>
              <w:t xml:space="preserve"> </w:t>
            </w:r>
            <w:r w:rsidR="00DE2167" w:rsidRPr="00E81AB9">
              <w:rPr>
                <w:rFonts w:ascii="Times New Roman" w:eastAsia="Times New Roman" w:hAnsi="Times New Roman" w:cs="Times New Roman"/>
                <w:color w:val="00B050"/>
                <w:sz w:val="20"/>
                <w:szCs w:val="20"/>
              </w:rPr>
              <w:t>Kobyłka</w:t>
            </w:r>
            <w:r w:rsidRPr="00E81AB9">
              <w:rPr>
                <w:rFonts w:ascii="Times New Roman" w:eastAsia="Times New Roman" w:hAnsi="Times New Roman" w:cs="Times New Roman"/>
                <w:color w:val="00B050"/>
                <w:sz w:val="20"/>
                <w:szCs w:val="20"/>
              </w:rPr>
              <w:t xml:space="preserve">, </w:t>
            </w:r>
            <w:r w:rsidR="00DE2167" w:rsidRPr="00E81AB9">
              <w:rPr>
                <w:rFonts w:ascii="Times New Roman" w:eastAsia="Times New Roman" w:hAnsi="Times New Roman" w:cs="Times New Roman"/>
                <w:color w:val="00B050"/>
                <w:sz w:val="20"/>
                <w:szCs w:val="20"/>
              </w:rPr>
              <w:t xml:space="preserve">ul. </w:t>
            </w:r>
            <w:r w:rsidR="00B0272B" w:rsidRPr="00E81AB9">
              <w:rPr>
                <w:rFonts w:ascii="Times New Roman" w:eastAsia="Times New Roman" w:hAnsi="Times New Roman" w:cs="Times New Roman"/>
                <w:color w:val="00B050"/>
                <w:sz w:val="20"/>
                <w:szCs w:val="20"/>
              </w:rPr>
              <w:t>Mickiewicza</w:t>
            </w:r>
          </w:p>
          <w:p w14:paraId="12328537"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Planowane jest:</w:t>
            </w:r>
          </w:p>
          <w:p w14:paraId="372D5530" w14:textId="77777777" w:rsidR="00C82A93" w:rsidRPr="004F020B" w:rsidRDefault="00C82A93" w:rsidP="00C82A93">
            <w:pPr>
              <w:pStyle w:val="Akapitzlist"/>
              <w:numPr>
                <w:ilvl w:val="0"/>
                <w:numId w:val="8"/>
              </w:numPr>
              <w:spacing w:before="144" w:after="144" w:line="240" w:lineRule="auto"/>
              <w:rPr>
                <w:rFonts w:ascii="Times New Roman" w:eastAsia="Times New Roman" w:hAnsi="Times New Roman" w:cs="Times New Roman"/>
                <w:color w:val="00B050"/>
                <w:sz w:val="20"/>
                <w:szCs w:val="20"/>
              </w:rPr>
            </w:pPr>
            <w:r w:rsidRPr="004F020B">
              <w:rPr>
                <w:rFonts w:ascii="Times New Roman" w:eastAsia="Times New Roman" w:hAnsi="Times New Roman" w:cs="Times New Roman"/>
                <w:color w:val="00B050"/>
                <w:sz w:val="20"/>
                <w:szCs w:val="20"/>
              </w:rPr>
              <w:t>2024 r.  przebudowa drogi polegającej na budowie chodnika w ul. Przyjacielskiej i wyniesionego doświetlonego przejścia dla pieszych w pasie drogowym ul. Przyjacielskiej róg Wołodyjowskiego;</w:t>
            </w:r>
          </w:p>
          <w:p w14:paraId="6129F3D8" w14:textId="77777777" w:rsidR="00C82A93" w:rsidRPr="004F020B" w:rsidRDefault="00C82A93" w:rsidP="00C82A93">
            <w:pPr>
              <w:pStyle w:val="Akapitzlist"/>
              <w:numPr>
                <w:ilvl w:val="0"/>
                <w:numId w:val="8"/>
              </w:numPr>
              <w:spacing w:before="144" w:after="144" w:line="240" w:lineRule="auto"/>
              <w:rPr>
                <w:rFonts w:ascii="Times New Roman" w:eastAsia="Times New Roman" w:hAnsi="Times New Roman" w:cs="Times New Roman"/>
                <w:color w:val="00B050"/>
                <w:sz w:val="20"/>
                <w:szCs w:val="20"/>
              </w:rPr>
            </w:pPr>
            <w:r w:rsidRPr="004F020B">
              <w:rPr>
                <w:rFonts w:ascii="Times New Roman" w:eastAsia="Times New Roman" w:hAnsi="Times New Roman" w:cs="Times New Roman"/>
                <w:color w:val="00B050"/>
                <w:sz w:val="20"/>
                <w:szCs w:val="20"/>
              </w:rPr>
              <w:t>2024 r. budowa oświetlenia w ul. Olszewskiego;</w:t>
            </w:r>
          </w:p>
          <w:p w14:paraId="217C8468" w14:textId="77777777" w:rsidR="00C82A93" w:rsidRPr="004F020B" w:rsidRDefault="00C82A93" w:rsidP="00C82A93">
            <w:pPr>
              <w:pStyle w:val="Akapitzlist"/>
              <w:numPr>
                <w:ilvl w:val="0"/>
                <w:numId w:val="8"/>
              </w:numPr>
              <w:spacing w:before="144" w:after="144" w:line="240" w:lineRule="auto"/>
              <w:rPr>
                <w:rFonts w:ascii="Times New Roman" w:eastAsia="Times New Roman" w:hAnsi="Times New Roman" w:cs="Times New Roman"/>
                <w:color w:val="00B050"/>
                <w:sz w:val="20"/>
                <w:szCs w:val="20"/>
              </w:rPr>
            </w:pPr>
            <w:r w:rsidRPr="004F020B">
              <w:rPr>
                <w:rFonts w:ascii="Times New Roman" w:eastAsia="Times New Roman" w:hAnsi="Times New Roman" w:cs="Times New Roman"/>
                <w:color w:val="00B050"/>
                <w:sz w:val="20"/>
                <w:szCs w:val="20"/>
              </w:rPr>
              <w:t>2025 r. budowa oświetlenia w ul. Krzywej;</w:t>
            </w:r>
          </w:p>
          <w:p w14:paraId="40F04294" w14:textId="77777777" w:rsidR="00C82A93" w:rsidRPr="004F020B" w:rsidRDefault="00C82A93" w:rsidP="00C82A93">
            <w:pPr>
              <w:pStyle w:val="Akapitzlist"/>
              <w:numPr>
                <w:ilvl w:val="0"/>
                <w:numId w:val="8"/>
              </w:numPr>
              <w:spacing w:before="144" w:after="144" w:line="240" w:lineRule="auto"/>
              <w:rPr>
                <w:rFonts w:ascii="Times New Roman" w:eastAsia="Times New Roman" w:hAnsi="Times New Roman" w:cs="Times New Roman"/>
                <w:color w:val="00B050"/>
                <w:sz w:val="20"/>
                <w:szCs w:val="20"/>
              </w:rPr>
            </w:pPr>
            <w:r w:rsidRPr="004F020B">
              <w:rPr>
                <w:rFonts w:ascii="Times New Roman" w:eastAsia="Times New Roman" w:hAnsi="Times New Roman" w:cs="Times New Roman"/>
                <w:color w:val="00B050"/>
                <w:sz w:val="20"/>
                <w:szCs w:val="20"/>
              </w:rPr>
              <w:t>2026 r. budowa oświetlenia w ul. Kmicica;</w:t>
            </w:r>
          </w:p>
          <w:p w14:paraId="5C36F577" w14:textId="77777777" w:rsidR="00C82A93" w:rsidRPr="004F020B" w:rsidRDefault="00C82A93" w:rsidP="00C82A93">
            <w:pPr>
              <w:pStyle w:val="Akapitzlist"/>
              <w:numPr>
                <w:ilvl w:val="0"/>
                <w:numId w:val="8"/>
              </w:numPr>
              <w:spacing w:before="144" w:after="144" w:line="240" w:lineRule="auto"/>
              <w:rPr>
                <w:rFonts w:ascii="Times New Roman" w:eastAsia="Times New Roman" w:hAnsi="Times New Roman" w:cs="Times New Roman"/>
                <w:color w:val="00B050"/>
                <w:sz w:val="20"/>
                <w:szCs w:val="20"/>
              </w:rPr>
            </w:pPr>
            <w:r w:rsidRPr="004F020B">
              <w:rPr>
                <w:rFonts w:ascii="Times New Roman" w:eastAsia="Times New Roman" w:hAnsi="Times New Roman" w:cs="Times New Roman"/>
                <w:color w:val="00B050"/>
                <w:sz w:val="20"/>
                <w:szCs w:val="20"/>
              </w:rPr>
              <w:t>2028 r. budowa drogi w ul. Niecałej</w:t>
            </w:r>
          </w:p>
          <w:p w14:paraId="4373BDEE" w14:textId="77777777" w:rsidR="00AD5AC5" w:rsidRPr="00D01837" w:rsidRDefault="00AD5AC5" w:rsidP="00933787">
            <w:pPr>
              <w:pStyle w:val="Akapitzlist"/>
              <w:numPr>
                <w:ilvl w:val="0"/>
                <w:numId w:val="8"/>
              </w:numPr>
              <w:spacing w:before="144" w:after="144" w:line="240" w:lineRule="auto"/>
              <w:rPr>
                <w:rFonts w:ascii="Times New Roman" w:eastAsia="Times New Roman" w:hAnsi="Times New Roman" w:cs="Times New Roman"/>
                <w:sz w:val="20"/>
                <w:szCs w:val="20"/>
              </w:rPr>
            </w:pPr>
          </w:p>
        </w:tc>
      </w:tr>
      <w:tr w:rsidR="00D01837" w:rsidRPr="00D01837" w14:paraId="54E5875C" w14:textId="77777777">
        <w:trPr>
          <w:trHeight w:val="71"/>
        </w:trPr>
        <w:tc>
          <w:tcPr>
            <w:tcW w:w="2810" w:type="dxa"/>
            <w:vMerge/>
            <w:shd w:val="clear" w:color="auto" w:fill="F3F3F3"/>
          </w:tcPr>
          <w:p w14:paraId="1CF79AC8"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61F9B176"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studium uwarunkowań i kierunków zagospodarowania przestrzennego gminy </w:t>
            </w:r>
          </w:p>
        </w:tc>
        <w:tc>
          <w:tcPr>
            <w:tcW w:w="3419" w:type="dxa"/>
            <w:shd w:val="clear" w:color="auto" w:fill="auto"/>
          </w:tcPr>
          <w:p w14:paraId="4319EEA8"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Brak</w:t>
            </w:r>
          </w:p>
        </w:tc>
      </w:tr>
      <w:tr w:rsidR="00D01837" w:rsidRPr="00D01837" w14:paraId="5842C16A" w14:textId="77777777">
        <w:trPr>
          <w:trHeight w:val="71"/>
        </w:trPr>
        <w:tc>
          <w:tcPr>
            <w:tcW w:w="2810" w:type="dxa"/>
            <w:vMerge/>
            <w:shd w:val="clear" w:color="auto" w:fill="F3F3F3"/>
          </w:tcPr>
          <w:p w14:paraId="0486B695"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3F1723A8" w14:textId="77777777" w:rsidR="00AD5AC5" w:rsidRPr="00D01837" w:rsidRDefault="00AD5AC5" w:rsidP="00AD5AC5">
            <w:pPr>
              <w:widowControl w:val="0"/>
              <w:spacing w:after="0" w:line="36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decyzjach o warunkach zabudowy i zagospodarowania terenu</w:t>
            </w:r>
          </w:p>
        </w:tc>
        <w:tc>
          <w:tcPr>
            <w:tcW w:w="3419" w:type="dxa"/>
            <w:shd w:val="clear" w:color="auto" w:fill="auto"/>
          </w:tcPr>
          <w:p w14:paraId="75BFC057"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Brak</w:t>
            </w:r>
          </w:p>
        </w:tc>
      </w:tr>
      <w:tr w:rsidR="00D01837" w:rsidRPr="00D01837" w14:paraId="345B7092" w14:textId="77777777">
        <w:trPr>
          <w:trHeight w:val="71"/>
        </w:trPr>
        <w:tc>
          <w:tcPr>
            <w:tcW w:w="2810" w:type="dxa"/>
            <w:vMerge/>
            <w:shd w:val="clear" w:color="auto" w:fill="F3F3F3"/>
          </w:tcPr>
          <w:p w14:paraId="1402EA6F"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4EE85F84"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decyzjach o środowiskowych uwarunkowaniach</w:t>
            </w:r>
          </w:p>
        </w:tc>
        <w:tc>
          <w:tcPr>
            <w:tcW w:w="3419" w:type="dxa"/>
            <w:shd w:val="clear" w:color="auto" w:fill="auto"/>
          </w:tcPr>
          <w:p w14:paraId="43A537D3"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Brak</w:t>
            </w:r>
          </w:p>
        </w:tc>
      </w:tr>
      <w:tr w:rsidR="00D01837" w:rsidRPr="00D01837" w14:paraId="26B47B2D" w14:textId="77777777">
        <w:trPr>
          <w:trHeight w:val="71"/>
        </w:trPr>
        <w:tc>
          <w:tcPr>
            <w:tcW w:w="2810" w:type="dxa"/>
            <w:vMerge/>
            <w:shd w:val="clear" w:color="auto" w:fill="F3F3F3"/>
          </w:tcPr>
          <w:p w14:paraId="32FA5F7D"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4A2E1F11"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decyzjach o obszarach ograniczonego użytkowania</w:t>
            </w:r>
          </w:p>
        </w:tc>
        <w:tc>
          <w:tcPr>
            <w:tcW w:w="3419" w:type="dxa"/>
            <w:shd w:val="clear" w:color="auto" w:fill="auto"/>
          </w:tcPr>
          <w:p w14:paraId="666AB527"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Brak</w:t>
            </w:r>
          </w:p>
        </w:tc>
      </w:tr>
      <w:tr w:rsidR="00D01837" w:rsidRPr="00D01837" w14:paraId="37AD744B" w14:textId="77777777">
        <w:trPr>
          <w:trHeight w:val="71"/>
        </w:trPr>
        <w:tc>
          <w:tcPr>
            <w:tcW w:w="2810" w:type="dxa"/>
            <w:vMerge/>
            <w:shd w:val="clear" w:color="auto" w:fill="F3F3F3"/>
          </w:tcPr>
          <w:p w14:paraId="74E6374D"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3EE46987"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miejscowych planach odbudowy</w:t>
            </w:r>
          </w:p>
        </w:tc>
        <w:tc>
          <w:tcPr>
            <w:tcW w:w="3419" w:type="dxa"/>
            <w:shd w:val="clear" w:color="auto" w:fill="auto"/>
          </w:tcPr>
          <w:p w14:paraId="5BB130E4"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Brak</w:t>
            </w:r>
          </w:p>
        </w:tc>
      </w:tr>
      <w:tr w:rsidR="00D01837" w:rsidRPr="00D01837" w14:paraId="309D2676" w14:textId="77777777">
        <w:trPr>
          <w:trHeight w:val="71"/>
        </w:trPr>
        <w:tc>
          <w:tcPr>
            <w:tcW w:w="2810" w:type="dxa"/>
            <w:vMerge/>
            <w:shd w:val="clear" w:color="auto" w:fill="F3F3F3"/>
          </w:tcPr>
          <w:p w14:paraId="14533671"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575C54AE"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mapach zagrożenia powodziowego i mapach ryzyka powodziowego</w:t>
            </w:r>
          </w:p>
        </w:tc>
        <w:tc>
          <w:tcPr>
            <w:tcW w:w="3419" w:type="dxa"/>
            <w:shd w:val="clear" w:color="auto" w:fill="auto"/>
          </w:tcPr>
          <w:p w14:paraId="0C2989EE"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Brak</w:t>
            </w:r>
          </w:p>
        </w:tc>
      </w:tr>
      <w:tr w:rsidR="00D01837" w:rsidRPr="00D01837" w14:paraId="1733EEFB" w14:textId="77777777">
        <w:trPr>
          <w:trHeight w:val="71"/>
        </w:trPr>
        <w:tc>
          <w:tcPr>
            <w:tcW w:w="2810" w:type="dxa"/>
            <w:vMerge/>
            <w:shd w:val="clear" w:color="auto" w:fill="F3F3F3"/>
          </w:tcPr>
          <w:p w14:paraId="17D93CC9"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6838" w:type="dxa"/>
            <w:gridSpan w:val="2"/>
            <w:shd w:val="clear" w:color="auto" w:fill="auto"/>
          </w:tcPr>
          <w:p w14:paraId="03FD9C2D" w14:textId="77777777" w:rsidR="00AD5AC5" w:rsidRPr="00D01837" w:rsidRDefault="00AD5AC5" w:rsidP="00AD5AC5">
            <w:pPr>
              <w:widowControl w:val="0"/>
              <w:spacing w:after="0"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Ustalenia decyzji w zakresie rozmieszczenia inwestycji celu publicznego, mogące mieć znaczenie dla terenu objętego przedsięwzięciem deweloperskim lub zadaniem inwestycyjnym:</w:t>
            </w:r>
          </w:p>
          <w:p w14:paraId="335D23D2" w14:textId="77777777" w:rsidR="00AD5AC5" w:rsidRPr="00D01837" w:rsidRDefault="00AD5AC5" w:rsidP="00AD5AC5">
            <w:pPr>
              <w:widowControl w:val="0"/>
              <w:spacing w:after="0" w:line="240" w:lineRule="auto"/>
              <w:rPr>
                <w:rFonts w:ascii="Times New Roman" w:eastAsia="Times New Roman" w:hAnsi="Times New Roman" w:cs="Times New Roman"/>
                <w:sz w:val="20"/>
                <w:szCs w:val="20"/>
              </w:rPr>
            </w:pPr>
          </w:p>
        </w:tc>
      </w:tr>
      <w:tr w:rsidR="00D01837" w:rsidRPr="00D01837" w14:paraId="44D66DDC" w14:textId="77777777">
        <w:trPr>
          <w:trHeight w:val="84"/>
        </w:trPr>
        <w:tc>
          <w:tcPr>
            <w:tcW w:w="2810" w:type="dxa"/>
            <w:vMerge/>
            <w:shd w:val="clear" w:color="auto" w:fill="F3F3F3"/>
          </w:tcPr>
          <w:p w14:paraId="3E63D5CC"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170DB8F2"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decyzja o zezwoleniu na realizację inwestycji drogowej</w:t>
            </w:r>
          </w:p>
        </w:tc>
        <w:tc>
          <w:tcPr>
            <w:tcW w:w="3419" w:type="dxa"/>
            <w:shd w:val="clear" w:color="auto" w:fill="auto"/>
          </w:tcPr>
          <w:p w14:paraId="047CDA7C"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Brak</w:t>
            </w:r>
          </w:p>
        </w:tc>
      </w:tr>
      <w:tr w:rsidR="00D01837" w:rsidRPr="00D01837" w14:paraId="624C12CF" w14:textId="77777777">
        <w:trPr>
          <w:trHeight w:val="81"/>
        </w:trPr>
        <w:tc>
          <w:tcPr>
            <w:tcW w:w="2810" w:type="dxa"/>
            <w:vMerge/>
            <w:shd w:val="clear" w:color="auto" w:fill="F3F3F3"/>
          </w:tcPr>
          <w:p w14:paraId="71416E34"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762DC68F"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decyzja o ustaleniu lokalizacji linii kolejowej</w:t>
            </w:r>
          </w:p>
        </w:tc>
        <w:tc>
          <w:tcPr>
            <w:tcW w:w="3419" w:type="dxa"/>
            <w:shd w:val="clear" w:color="auto" w:fill="auto"/>
          </w:tcPr>
          <w:p w14:paraId="55275DF3"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Brak</w:t>
            </w:r>
          </w:p>
        </w:tc>
      </w:tr>
      <w:tr w:rsidR="00D01837" w:rsidRPr="00D01837" w14:paraId="7432063B" w14:textId="77777777">
        <w:trPr>
          <w:trHeight w:val="81"/>
        </w:trPr>
        <w:tc>
          <w:tcPr>
            <w:tcW w:w="2810" w:type="dxa"/>
            <w:vMerge/>
            <w:shd w:val="clear" w:color="auto" w:fill="F3F3F3"/>
          </w:tcPr>
          <w:p w14:paraId="1B7A7FBE"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45836F1E"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decyzja o zezwoleniu na realizację inwestycji w zakresie lotniska użytku publicznego</w:t>
            </w:r>
          </w:p>
        </w:tc>
        <w:tc>
          <w:tcPr>
            <w:tcW w:w="3419" w:type="dxa"/>
            <w:shd w:val="clear" w:color="auto" w:fill="auto"/>
          </w:tcPr>
          <w:p w14:paraId="5E4ABC98"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Brak</w:t>
            </w:r>
          </w:p>
        </w:tc>
      </w:tr>
      <w:tr w:rsidR="00D01837" w:rsidRPr="00D01837" w14:paraId="347F60B5" w14:textId="77777777">
        <w:trPr>
          <w:trHeight w:val="81"/>
        </w:trPr>
        <w:tc>
          <w:tcPr>
            <w:tcW w:w="2810" w:type="dxa"/>
            <w:vMerge/>
            <w:shd w:val="clear" w:color="auto" w:fill="F3F3F3"/>
          </w:tcPr>
          <w:p w14:paraId="3E25FEAB"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52A7BC10"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decyzja o pozwoleniu na realizację inwestycji w zakresie budowli przeciwpowodziowych</w:t>
            </w:r>
          </w:p>
        </w:tc>
        <w:tc>
          <w:tcPr>
            <w:tcW w:w="3419" w:type="dxa"/>
            <w:shd w:val="clear" w:color="auto" w:fill="auto"/>
          </w:tcPr>
          <w:p w14:paraId="07E698C5"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Brak</w:t>
            </w:r>
          </w:p>
        </w:tc>
      </w:tr>
      <w:tr w:rsidR="00D01837" w:rsidRPr="00D01837" w14:paraId="4CC39F3D" w14:textId="77777777">
        <w:trPr>
          <w:trHeight w:val="81"/>
        </w:trPr>
        <w:tc>
          <w:tcPr>
            <w:tcW w:w="2810" w:type="dxa"/>
            <w:vMerge/>
            <w:shd w:val="clear" w:color="auto" w:fill="F3F3F3"/>
          </w:tcPr>
          <w:p w14:paraId="15ADE0DD"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4A984158"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decyzja o ustaleniu lokalizacji inwestycji w zakresie budowy obiektu energetyki jądrowej</w:t>
            </w:r>
          </w:p>
        </w:tc>
        <w:tc>
          <w:tcPr>
            <w:tcW w:w="3419" w:type="dxa"/>
            <w:shd w:val="clear" w:color="auto" w:fill="auto"/>
          </w:tcPr>
          <w:p w14:paraId="4E0FBC9D"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Brak</w:t>
            </w:r>
          </w:p>
        </w:tc>
      </w:tr>
      <w:tr w:rsidR="00D01837" w:rsidRPr="00D01837" w14:paraId="5C49746A" w14:textId="77777777">
        <w:trPr>
          <w:trHeight w:val="81"/>
        </w:trPr>
        <w:tc>
          <w:tcPr>
            <w:tcW w:w="2810" w:type="dxa"/>
            <w:vMerge/>
            <w:shd w:val="clear" w:color="auto" w:fill="F3F3F3"/>
          </w:tcPr>
          <w:p w14:paraId="07C0B697"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072960A7"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decyzja o ustaleniu lokalizacji strategicznej inwestycji w zakresie sieci przesyłowej</w:t>
            </w:r>
          </w:p>
        </w:tc>
        <w:tc>
          <w:tcPr>
            <w:tcW w:w="3419" w:type="dxa"/>
            <w:shd w:val="clear" w:color="auto" w:fill="auto"/>
          </w:tcPr>
          <w:p w14:paraId="596D9712"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Brak</w:t>
            </w:r>
          </w:p>
        </w:tc>
      </w:tr>
      <w:tr w:rsidR="00D01837" w:rsidRPr="00D01837" w14:paraId="36CC1E3F" w14:textId="77777777">
        <w:trPr>
          <w:trHeight w:val="81"/>
        </w:trPr>
        <w:tc>
          <w:tcPr>
            <w:tcW w:w="2810" w:type="dxa"/>
            <w:vMerge/>
            <w:shd w:val="clear" w:color="auto" w:fill="F3F3F3"/>
          </w:tcPr>
          <w:p w14:paraId="0903EF69"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77044E02"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decyzja o ustaleniu lokalizacji regionalnej sieci szerokopasmowej</w:t>
            </w:r>
          </w:p>
        </w:tc>
        <w:tc>
          <w:tcPr>
            <w:tcW w:w="3419" w:type="dxa"/>
            <w:shd w:val="clear" w:color="auto" w:fill="auto"/>
          </w:tcPr>
          <w:p w14:paraId="7B318BC6"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Brak</w:t>
            </w:r>
          </w:p>
        </w:tc>
      </w:tr>
      <w:tr w:rsidR="00D01837" w:rsidRPr="00D01837" w14:paraId="36D9D031" w14:textId="77777777">
        <w:trPr>
          <w:trHeight w:val="81"/>
        </w:trPr>
        <w:tc>
          <w:tcPr>
            <w:tcW w:w="2810" w:type="dxa"/>
            <w:vMerge/>
            <w:shd w:val="clear" w:color="auto" w:fill="F3F3F3"/>
          </w:tcPr>
          <w:p w14:paraId="4FB11F57"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590C3F3F"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decyzja o ustaleniu lokalizacji inwestycji w zakresie Centralnego Portu Komunikacyjnego </w:t>
            </w:r>
          </w:p>
        </w:tc>
        <w:tc>
          <w:tcPr>
            <w:tcW w:w="3419" w:type="dxa"/>
            <w:shd w:val="clear" w:color="auto" w:fill="auto"/>
          </w:tcPr>
          <w:p w14:paraId="45E32A47"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Brak</w:t>
            </w:r>
          </w:p>
        </w:tc>
      </w:tr>
      <w:tr w:rsidR="00D01837" w:rsidRPr="00D01837" w14:paraId="324DDC94" w14:textId="77777777">
        <w:trPr>
          <w:trHeight w:val="81"/>
        </w:trPr>
        <w:tc>
          <w:tcPr>
            <w:tcW w:w="2810" w:type="dxa"/>
            <w:vMerge/>
            <w:shd w:val="clear" w:color="auto" w:fill="F3F3F3"/>
          </w:tcPr>
          <w:p w14:paraId="5D14BEF1"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7FEE06E7"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decyzja o zezwoleniu na realizację inwestycji w zakresie infrastruktury dostępowej</w:t>
            </w:r>
          </w:p>
        </w:tc>
        <w:tc>
          <w:tcPr>
            <w:tcW w:w="3419" w:type="dxa"/>
            <w:shd w:val="clear" w:color="auto" w:fill="auto"/>
          </w:tcPr>
          <w:p w14:paraId="698BC693"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Brak</w:t>
            </w:r>
          </w:p>
        </w:tc>
      </w:tr>
      <w:tr w:rsidR="00D01837" w:rsidRPr="00D01837" w14:paraId="72D511DD" w14:textId="77777777">
        <w:trPr>
          <w:trHeight w:val="81"/>
        </w:trPr>
        <w:tc>
          <w:tcPr>
            <w:tcW w:w="2810" w:type="dxa"/>
            <w:vMerge/>
            <w:shd w:val="clear" w:color="auto" w:fill="F3F3F3"/>
          </w:tcPr>
          <w:p w14:paraId="7013F82C"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4924AB17"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decyzja o ustaleniu lokalizacji strategicznej inwestycji w sektorze naftowym</w:t>
            </w:r>
          </w:p>
        </w:tc>
        <w:tc>
          <w:tcPr>
            <w:tcW w:w="3419" w:type="dxa"/>
            <w:shd w:val="clear" w:color="auto" w:fill="auto"/>
          </w:tcPr>
          <w:p w14:paraId="1EC47BFB"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Brak</w:t>
            </w:r>
          </w:p>
        </w:tc>
      </w:tr>
      <w:tr w:rsidR="00D01837" w:rsidRPr="00D01837" w14:paraId="41D0431E" w14:textId="77777777">
        <w:trPr>
          <w:trHeight w:val="390"/>
        </w:trPr>
        <w:tc>
          <w:tcPr>
            <w:tcW w:w="9648" w:type="dxa"/>
            <w:gridSpan w:val="3"/>
            <w:shd w:val="clear" w:color="auto" w:fill="D9D9D9"/>
          </w:tcPr>
          <w:p w14:paraId="731B48A3" w14:textId="77777777" w:rsidR="00AD5AC5" w:rsidRPr="00D01837" w:rsidRDefault="00AD5AC5" w:rsidP="00AD5AC5">
            <w:pPr>
              <w:spacing w:before="144" w:after="144" w:line="240" w:lineRule="auto"/>
              <w:jc w:val="both"/>
              <w:rPr>
                <w:rFonts w:ascii="Times New Roman" w:eastAsia="Times New Roman" w:hAnsi="Times New Roman" w:cs="Times New Roman"/>
                <w:b/>
                <w:sz w:val="20"/>
                <w:szCs w:val="20"/>
              </w:rPr>
            </w:pPr>
            <w:r w:rsidRPr="00D01837">
              <w:rPr>
                <w:rFonts w:ascii="Times New Roman" w:eastAsia="Times New Roman" w:hAnsi="Times New Roman" w:cs="Times New Roman"/>
                <w:b/>
                <w:sz w:val="20"/>
                <w:szCs w:val="20"/>
              </w:rPr>
              <w:lastRenderedPageBreak/>
              <w:t>INFORMACJE DOTYCZĄCE BUDYNKU</w:t>
            </w:r>
          </w:p>
          <w:p w14:paraId="78BE9111"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p>
        </w:tc>
      </w:tr>
      <w:tr w:rsidR="00D01837" w:rsidRPr="00D01837" w14:paraId="7802DC22" w14:textId="77777777">
        <w:trPr>
          <w:trHeight w:val="390"/>
        </w:trPr>
        <w:tc>
          <w:tcPr>
            <w:tcW w:w="2810" w:type="dxa"/>
            <w:shd w:val="clear" w:color="auto" w:fill="F3F3F3"/>
          </w:tcPr>
          <w:p w14:paraId="6DABBF2C"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Czy jest pozwolenie na budowę</w:t>
            </w:r>
            <w:r w:rsidRPr="00D01837">
              <w:rPr>
                <w:rFonts w:ascii="Times New Roman" w:eastAsia="Times New Roman" w:hAnsi="Times New Roman" w:cs="Times New Roman"/>
                <w:sz w:val="20"/>
                <w:szCs w:val="20"/>
              </w:rPr>
              <w:br/>
            </w:r>
          </w:p>
        </w:tc>
        <w:tc>
          <w:tcPr>
            <w:tcW w:w="3419" w:type="dxa"/>
            <w:shd w:val="clear" w:color="auto" w:fill="auto"/>
            <w:vAlign w:val="center"/>
          </w:tcPr>
          <w:p w14:paraId="70D1DCB0" w14:textId="77777777" w:rsidR="00AD5AC5" w:rsidRPr="00D01837" w:rsidRDefault="00AD5AC5" w:rsidP="00C82A93">
            <w:pPr>
              <w:spacing w:before="144" w:after="144" w:line="240" w:lineRule="auto"/>
              <w:jc w:val="center"/>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tak</w:t>
            </w:r>
            <w:r w:rsidRPr="00D01837">
              <w:rPr>
                <w:rFonts w:ascii="Times New Roman" w:eastAsia="Times New Roman" w:hAnsi="Times New Roman" w:cs="Times New Roman"/>
                <w:sz w:val="20"/>
                <w:szCs w:val="20"/>
                <w:vertAlign w:val="superscript"/>
              </w:rPr>
              <w:t>*</w:t>
            </w:r>
          </w:p>
        </w:tc>
        <w:tc>
          <w:tcPr>
            <w:tcW w:w="3419" w:type="dxa"/>
            <w:shd w:val="clear" w:color="auto" w:fill="auto"/>
            <w:vAlign w:val="center"/>
          </w:tcPr>
          <w:p w14:paraId="3E0C46BF" w14:textId="77777777" w:rsidR="00AD5AC5" w:rsidRPr="00D01837" w:rsidRDefault="00AD5AC5" w:rsidP="00AD5AC5">
            <w:pPr>
              <w:spacing w:before="144" w:after="144" w:line="240" w:lineRule="auto"/>
              <w:jc w:val="center"/>
              <w:rPr>
                <w:rFonts w:ascii="Times New Roman" w:eastAsia="Times New Roman" w:hAnsi="Times New Roman" w:cs="Times New Roman"/>
                <w:strike/>
                <w:sz w:val="20"/>
                <w:szCs w:val="20"/>
              </w:rPr>
            </w:pPr>
            <w:r w:rsidRPr="00D01837">
              <w:rPr>
                <w:rFonts w:ascii="Times New Roman" w:eastAsia="Times New Roman" w:hAnsi="Times New Roman" w:cs="Times New Roman"/>
                <w:strike/>
                <w:sz w:val="20"/>
                <w:szCs w:val="20"/>
              </w:rPr>
              <w:t>nie*</w:t>
            </w:r>
          </w:p>
        </w:tc>
      </w:tr>
      <w:tr w:rsidR="00D01837" w:rsidRPr="00D01837" w14:paraId="418BBC38" w14:textId="77777777">
        <w:trPr>
          <w:trHeight w:val="390"/>
        </w:trPr>
        <w:tc>
          <w:tcPr>
            <w:tcW w:w="2810" w:type="dxa"/>
            <w:shd w:val="clear" w:color="auto" w:fill="F3F3F3"/>
          </w:tcPr>
          <w:p w14:paraId="20C400E2"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Czy pozwolenie na budowę jest ostateczne</w:t>
            </w:r>
          </w:p>
        </w:tc>
        <w:tc>
          <w:tcPr>
            <w:tcW w:w="3419" w:type="dxa"/>
            <w:shd w:val="clear" w:color="auto" w:fill="auto"/>
            <w:vAlign w:val="center"/>
          </w:tcPr>
          <w:p w14:paraId="1A62B3BF" w14:textId="77777777" w:rsidR="00AD5AC5" w:rsidRPr="00D01837" w:rsidRDefault="00AD5AC5" w:rsidP="00AD5AC5">
            <w:pPr>
              <w:spacing w:before="144" w:after="144" w:line="240" w:lineRule="auto"/>
              <w:jc w:val="center"/>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tak*</w:t>
            </w:r>
          </w:p>
        </w:tc>
        <w:tc>
          <w:tcPr>
            <w:tcW w:w="3419" w:type="dxa"/>
            <w:shd w:val="clear" w:color="auto" w:fill="auto"/>
            <w:vAlign w:val="center"/>
          </w:tcPr>
          <w:p w14:paraId="57967177" w14:textId="77777777" w:rsidR="00AD5AC5" w:rsidRPr="00D01837" w:rsidRDefault="00AD5AC5" w:rsidP="00AD5AC5">
            <w:pPr>
              <w:spacing w:before="144" w:after="144" w:line="240" w:lineRule="auto"/>
              <w:jc w:val="center"/>
              <w:rPr>
                <w:rFonts w:ascii="Times New Roman" w:eastAsia="Times New Roman" w:hAnsi="Times New Roman" w:cs="Times New Roman"/>
                <w:strike/>
                <w:sz w:val="20"/>
                <w:szCs w:val="20"/>
              </w:rPr>
            </w:pPr>
            <w:r w:rsidRPr="00D01837">
              <w:rPr>
                <w:rFonts w:ascii="Times New Roman" w:eastAsia="Times New Roman" w:hAnsi="Times New Roman" w:cs="Times New Roman"/>
                <w:strike/>
                <w:sz w:val="20"/>
                <w:szCs w:val="20"/>
              </w:rPr>
              <w:t>nie*</w:t>
            </w:r>
          </w:p>
        </w:tc>
      </w:tr>
      <w:tr w:rsidR="00D01837" w:rsidRPr="00D01837" w14:paraId="2495C648" w14:textId="77777777">
        <w:trPr>
          <w:trHeight w:val="390"/>
        </w:trPr>
        <w:tc>
          <w:tcPr>
            <w:tcW w:w="2810" w:type="dxa"/>
            <w:shd w:val="clear" w:color="auto" w:fill="F3F3F3"/>
          </w:tcPr>
          <w:p w14:paraId="28C08FF4"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Czy pozwolenie na budowę jest zaskarżone</w:t>
            </w:r>
          </w:p>
        </w:tc>
        <w:tc>
          <w:tcPr>
            <w:tcW w:w="3419" w:type="dxa"/>
            <w:shd w:val="clear" w:color="auto" w:fill="auto"/>
            <w:vAlign w:val="center"/>
          </w:tcPr>
          <w:p w14:paraId="7E5F54C9" w14:textId="77777777" w:rsidR="00AD5AC5" w:rsidRPr="00D01837" w:rsidRDefault="00AD5AC5" w:rsidP="00AD5AC5">
            <w:pPr>
              <w:spacing w:before="144" w:after="144" w:line="240" w:lineRule="auto"/>
              <w:jc w:val="center"/>
              <w:rPr>
                <w:rFonts w:ascii="Times New Roman" w:eastAsia="Times New Roman" w:hAnsi="Times New Roman" w:cs="Times New Roman"/>
                <w:strike/>
                <w:sz w:val="20"/>
                <w:szCs w:val="20"/>
              </w:rPr>
            </w:pPr>
            <w:r w:rsidRPr="00D01837">
              <w:rPr>
                <w:rFonts w:ascii="Times New Roman" w:eastAsia="Times New Roman" w:hAnsi="Times New Roman" w:cs="Times New Roman"/>
                <w:strike/>
                <w:sz w:val="20"/>
                <w:szCs w:val="20"/>
              </w:rPr>
              <w:t>tak*</w:t>
            </w:r>
          </w:p>
        </w:tc>
        <w:tc>
          <w:tcPr>
            <w:tcW w:w="3419" w:type="dxa"/>
            <w:shd w:val="clear" w:color="auto" w:fill="auto"/>
            <w:vAlign w:val="center"/>
          </w:tcPr>
          <w:p w14:paraId="2A44985C" w14:textId="77777777" w:rsidR="00AD5AC5" w:rsidRPr="00D01837" w:rsidRDefault="00AD5AC5" w:rsidP="00AD5AC5">
            <w:pPr>
              <w:spacing w:before="144" w:after="144" w:line="240" w:lineRule="auto"/>
              <w:jc w:val="center"/>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nie*</w:t>
            </w:r>
          </w:p>
        </w:tc>
      </w:tr>
      <w:tr w:rsidR="00D01837" w:rsidRPr="00D01837" w14:paraId="61282322" w14:textId="77777777">
        <w:trPr>
          <w:trHeight w:val="195"/>
        </w:trPr>
        <w:tc>
          <w:tcPr>
            <w:tcW w:w="2810" w:type="dxa"/>
            <w:shd w:val="clear" w:color="auto" w:fill="F3F3F3"/>
          </w:tcPr>
          <w:p w14:paraId="20E48F3A"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Numer pozwolenia na budowę oraz nazwa organu, który je wydał</w:t>
            </w:r>
          </w:p>
        </w:tc>
        <w:tc>
          <w:tcPr>
            <w:tcW w:w="6838" w:type="dxa"/>
            <w:gridSpan w:val="2"/>
            <w:shd w:val="clear" w:color="auto" w:fill="auto"/>
          </w:tcPr>
          <w:p w14:paraId="7B575A17" w14:textId="77777777" w:rsidR="00AD5AC5" w:rsidRPr="001A1D13" w:rsidRDefault="00AD5AC5" w:rsidP="00AD5AC5">
            <w:pPr>
              <w:spacing w:before="144" w:after="144" w:line="240" w:lineRule="auto"/>
              <w:jc w:val="both"/>
              <w:rPr>
                <w:rFonts w:ascii="Times New Roman" w:eastAsia="Times New Roman" w:hAnsi="Times New Roman" w:cs="Times New Roman"/>
                <w:color w:val="00B050"/>
                <w:sz w:val="20"/>
                <w:szCs w:val="20"/>
              </w:rPr>
            </w:pPr>
            <w:r w:rsidRPr="00F05F3B">
              <w:rPr>
                <w:rFonts w:ascii="Times New Roman" w:eastAsia="Times New Roman" w:hAnsi="Times New Roman" w:cs="Times New Roman"/>
                <w:color w:val="00B050"/>
                <w:sz w:val="20"/>
                <w:szCs w:val="20"/>
              </w:rPr>
              <w:t xml:space="preserve">Decyzja Nr </w:t>
            </w:r>
            <w:r w:rsidR="00F05F3B" w:rsidRPr="00F05F3B">
              <w:rPr>
                <w:rFonts w:ascii="Times New Roman" w:eastAsia="Times New Roman" w:hAnsi="Times New Roman" w:cs="Times New Roman"/>
                <w:color w:val="00B050"/>
                <w:sz w:val="20"/>
                <w:szCs w:val="20"/>
              </w:rPr>
              <w:t>46</w:t>
            </w:r>
            <w:r w:rsidRPr="00F05F3B">
              <w:rPr>
                <w:rFonts w:ascii="Times New Roman" w:eastAsia="Times New Roman" w:hAnsi="Times New Roman" w:cs="Times New Roman"/>
                <w:color w:val="00B050"/>
                <w:sz w:val="20"/>
                <w:szCs w:val="20"/>
              </w:rPr>
              <w:t>p/202</w:t>
            </w:r>
            <w:r w:rsidR="00F05F3B" w:rsidRPr="00F05F3B">
              <w:rPr>
                <w:rFonts w:ascii="Times New Roman" w:eastAsia="Times New Roman" w:hAnsi="Times New Roman" w:cs="Times New Roman"/>
                <w:color w:val="00B050"/>
                <w:sz w:val="20"/>
                <w:szCs w:val="20"/>
              </w:rPr>
              <w:t>4</w:t>
            </w:r>
            <w:r w:rsidR="00495744" w:rsidRPr="00F05F3B">
              <w:rPr>
                <w:rFonts w:ascii="Times New Roman" w:eastAsia="Times New Roman" w:hAnsi="Times New Roman" w:cs="Times New Roman"/>
                <w:color w:val="00B050"/>
                <w:sz w:val="20"/>
                <w:szCs w:val="20"/>
              </w:rPr>
              <w:t xml:space="preserve"> </w:t>
            </w:r>
            <w:r w:rsidR="001A1D13">
              <w:rPr>
                <w:rFonts w:ascii="Times New Roman" w:eastAsia="Times New Roman" w:hAnsi="Times New Roman" w:cs="Times New Roman"/>
                <w:color w:val="00B050"/>
                <w:sz w:val="20"/>
                <w:szCs w:val="20"/>
              </w:rPr>
              <w:t xml:space="preserve">wydana przez Starostę Wołomińskiego </w:t>
            </w:r>
            <w:r w:rsidR="00495744" w:rsidRPr="00F05F3B">
              <w:rPr>
                <w:rFonts w:ascii="Times New Roman" w:eastAsia="Times New Roman" w:hAnsi="Times New Roman" w:cs="Times New Roman"/>
                <w:color w:val="00B050"/>
                <w:sz w:val="20"/>
                <w:szCs w:val="20"/>
              </w:rPr>
              <w:t xml:space="preserve">z dnia </w:t>
            </w:r>
            <w:r w:rsidR="00F05F3B" w:rsidRPr="00F05F3B">
              <w:rPr>
                <w:rFonts w:ascii="Times New Roman" w:eastAsia="Times New Roman" w:hAnsi="Times New Roman" w:cs="Times New Roman"/>
                <w:color w:val="00B050"/>
                <w:sz w:val="20"/>
                <w:szCs w:val="20"/>
              </w:rPr>
              <w:t>23.01</w:t>
            </w:r>
            <w:r w:rsidR="00495744" w:rsidRPr="00F05F3B">
              <w:rPr>
                <w:rFonts w:ascii="Times New Roman" w:eastAsia="Times New Roman" w:hAnsi="Times New Roman" w:cs="Times New Roman"/>
                <w:color w:val="00B050"/>
                <w:sz w:val="20"/>
                <w:szCs w:val="20"/>
              </w:rPr>
              <w:t>.202</w:t>
            </w:r>
            <w:r w:rsidR="00F05F3B" w:rsidRPr="00F05F3B">
              <w:rPr>
                <w:rFonts w:ascii="Times New Roman" w:eastAsia="Times New Roman" w:hAnsi="Times New Roman" w:cs="Times New Roman"/>
                <w:color w:val="00B050"/>
                <w:sz w:val="20"/>
                <w:szCs w:val="20"/>
              </w:rPr>
              <w:t>4</w:t>
            </w:r>
            <w:r w:rsidR="00495744" w:rsidRPr="00F05F3B">
              <w:rPr>
                <w:rFonts w:ascii="Times New Roman" w:eastAsia="Times New Roman" w:hAnsi="Times New Roman" w:cs="Times New Roman"/>
                <w:color w:val="00B050"/>
                <w:sz w:val="20"/>
                <w:szCs w:val="20"/>
              </w:rPr>
              <w:t xml:space="preserve"> r.</w:t>
            </w:r>
          </w:p>
        </w:tc>
      </w:tr>
      <w:tr w:rsidR="00D01837" w:rsidRPr="00D01837" w14:paraId="2FB8B68B" w14:textId="77777777">
        <w:trPr>
          <w:trHeight w:val="195"/>
        </w:trPr>
        <w:tc>
          <w:tcPr>
            <w:tcW w:w="2810" w:type="dxa"/>
            <w:shd w:val="clear" w:color="auto" w:fill="F3F3F3"/>
          </w:tcPr>
          <w:p w14:paraId="5BD8B614"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Data uprawomocnienia się decyzji o pozwoleniu na użytkowanie budynku</w:t>
            </w:r>
          </w:p>
        </w:tc>
        <w:tc>
          <w:tcPr>
            <w:tcW w:w="6838" w:type="dxa"/>
            <w:gridSpan w:val="2"/>
            <w:shd w:val="clear" w:color="auto" w:fill="auto"/>
          </w:tcPr>
          <w:p w14:paraId="23CDF83B" w14:textId="77777777" w:rsidR="00AD5AC5" w:rsidRPr="00D01837" w:rsidRDefault="001E2C37"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Nie dotyczy</w:t>
            </w:r>
          </w:p>
        </w:tc>
      </w:tr>
      <w:tr w:rsidR="00D01837" w:rsidRPr="00D01837" w14:paraId="16338747" w14:textId="77777777">
        <w:trPr>
          <w:trHeight w:val="195"/>
        </w:trPr>
        <w:tc>
          <w:tcPr>
            <w:tcW w:w="2810" w:type="dxa"/>
            <w:shd w:val="clear" w:color="auto" w:fill="F3F3F3"/>
          </w:tcPr>
          <w:p w14:paraId="5C3FB46E"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Data zakończenia budowy domu jednorodzinnego </w:t>
            </w:r>
          </w:p>
        </w:tc>
        <w:tc>
          <w:tcPr>
            <w:tcW w:w="6838" w:type="dxa"/>
            <w:gridSpan w:val="2"/>
            <w:shd w:val="clear" w:color="auto" w:fill="auto"/>
          </w:tcPr>
          <w:p w14:paraId="12F9DA2C" w14:textId="77777777" w:rsidR="00AD5AC5" w:rsidRPr="00C82A93" w:rsidRDefault="00527C3A" w:rsidP="006877C0">
            <w:pPr>
              <w:spacing w:before="144" w:after="144" w:line="240" w:lineRule="auto"/>
              <w:jc w:val="both"/>
              <w:rPr>
                <w:rFonts w:ascii="Times New Roman" w:eastAsia="Times New Roman" w:hAnsi="Times New Roman" w:cs="Times New Roman"/>
                <w:color w:val="FF0000"/>
                <w:sz w:val="20"/>
                <w:szCs w:val="20"/>
              </w:rPr>
            </w:pPr>
            <w:r>
              <w:rPr>
                <w:rFonts w:ascii="Times New Roman" w:hAnsi="Times New Roman" w:cs="Times New Roman"/>
                <w:color w:val="00B050"/>
              </w:rPr>
              <w:t>31.03.2026 r</w:t>
            </w:r>
            <w:r w:rsidRPr="00592471">
              <w:rPr>
                <w:rFonts w:ascii="Times New Roman" w:hAnsi="Times New Roman" w:cs="Times New Roman"/>
                <w:color w:val="00B050"/>
              </w:rPr>
              <w:t>.</w:t>
            </w:r>
          </w:p>
        </w:tc>
      </w:tr>
      <w:tr w:rsidR="00D01837" w:rsidRPr="00D01837" w14:paraId="1F81E978" w14:textId="77777777">
        <w:trPr>
          <w:trHeight w:val="195"/>
        </w:trPr>
        <w:tc>
          <w:tcPr>
            <w:tcW w:w="2810" w:type="dxa"/>
            <w:shd w:val="clear" w:color="auto" w:fill="F3F3F3"/>
          </w:tcPr>
          <w:p w14:paraId="51D97899"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Planowany termin rozpoczęcia i zakończenia robót budowlanych</w:t>
            </w:r>
          </w:p>
        </w:tc>
        <w:tc>
          <w:tcPr>
            <w:tcW w:w="6838" w:type="dxa"/>
            <w:gridSpan w:val="2"/>
            <w:shd w:val="clear" w:color="auto" w:fill="auto"/>
          </w:tcPr>
          <w:p w14:paraId="1EF45C34" w14:textId="77777777" w:rsidR="00AD5AC5" w:rsidRPr="00C82A93" w:rsidRDefault="00D91026" w:rsidP="00D91026">
            <w:pPr>
              <w:spacing w:before="144" w:after="144" w:line="240" w:lineRule="auto"/>
              <w:jc w:val="both"/>
              <w:rPr>
                <w:rFonts w:ascii="Times New Roman" w:eastAsia="Times New Roman" w:hAnsi="Times New Roman" w:cs="Times New Roman"/>
                <w:color w:val="FF0000"/>
                <w:sz w:val="20"/>
                <w:szCs w:val="20"/>
              </w:rPr>
            </w:pPr>
            <w:r w:rsidRPr="00D91026">
              <w:rPr>
                <w:rFonts w:ascii="Times New Roman" w:eastAsia="Times New Roman" w:hAnsi="Times New Roman" w:cs="Times New Roman"/>
                <w:color w:val="00B050"/>
                <w:sz w:val="20"/>
                <w:szCs w:val="20"/>
              </w:rPr>
              <w:t>01</w:t>
            </w:r>
            <w:r w:rsidR="00AD5AC5" w:rsidRPr="00D91026">
              <w:rPr>
                <w:rFonts w:ascii="Times New Roman" w:eastAsia="Times New Roman" w:hAnsi="Times New Roman" w:cs="Times New Roman"/>
                <w:color w:val="00B050"/>
                <w:sz w:val="20"/>
                <w:szCs w:val="20"/>
              </w:rPr>
              <w:t>.0</w:t>
            </w:r>
            <w:r w:rsidRPr="00D91026">
              <w:rPr>
                <w:rFonts w:ascii="Times New Roman" w:eastAsia="Times New Roman" w:hAnsi="Times New Roman" w:cs="Times New Roman"/>
                <w:color w:val="00B050"/>
                <w:sz w:val="20"/>
                <w:szCs w:val="20"/>
              </w:rPr>
              <w:t>7</w:t>
            </w:r>
            <w:r w:rsidR="00AD5AC5" w:rsidRPr="00D91026">
              <w:rPr>
                <w:rFonts w:ascii="Times New Roman" w:eastAsia="Times New Roman" w:hAnsi="Times New Roman" w:cs="Times New Roman"/>
                <w:color w:val="00B050"/>
                <w:sz w:val="20"/>
                <w:szCs w:val="20"/>
              </w:rPr>
              <w:t>.202</w:t>
            </w:r>
            <w:r w:rsidR="003C34EE" w:rsidRPr="00D91026">
              <w:rPr>
                <w:rFonts w:ascii="Times New Roman" w:eastAsia="Times New Roman" w:hAnsi="Times New Roman" w:cs="Times New Roman"/>
                <w:color w:val="00B050"/>
                <w:sz w:val="20"/>
                <w:szCs w:val="20"/>
              </w:rPr>
              <w:t>4</w:t>
            </w:r>
            <w:r w:rsidR="00AD5AC5" w:rsidRPr="00D91026">
              <w:rPr>
                <w:rFonts w:ascii="Times New Roman" w:eastAsia="Times New Roman" w:hAnsi="Times New Roman" w:cs="Times New Roman"/>
                <w:color w:val="00B050"/>
                <w:sz w:val="20"/>
                <w:szCs w:val="20"/>
              </w:rPr>
              <w:t xml:space="preserve"> r. - </w:t>
            </w:r>
            <w:r>
              <w:rPr>
                <w:rFonts w:ascii="Times New Roman" w:hAnsi="Times New Roman" w:cs="Times New Roman"/>
                <w:color w:val="00B050"/>
              </w:rPr>
              <w:t>31.03.2026 r</w:t>
            </w:r>
            <w:r w:rsidR="008E77E1" w:rsidRPr="00592471">
              <w:rPr>
                <w:rFonts w:ascii="Times New Roman" w:hAnsi="Times New Roman" w:cs="Times New Roman"/>
                <w:color w:val="00B050"/>
              </w:rPr>
              <w:t>.</w:t>
            </w:r>
          </w:p>
        </w:tc>
      </w:tr>
      <w:tr w:rsidR="00D01837" w:rsidRPr="00D01837" w14:paraId="33CC4993" w14:textId="77777777">
        <w:trPr>
          <w:trHeight w:val="325"/>
        </w:trPr>
        <w:tc>
          <w:tcPr>
            <w:tcW w:w="2810" w:type="dxa"/>
            <w:vMerge w:val="restart"/>
            <w:shd w:val="clear" w:color="auto" w:fill="F3F3F3"/>
          </w:tcPr>
          <w:p w14:paraId="55E66B5F"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p>
          <w:p w14:paraId="03B1FFFF" w14:textId="77777777" w:rsidR="00AD5AC5" w:rsidRPr="00D01837" w:rsidRDefault="00AD5AC5" w:rsidP="00AD5AC5">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Opis przedsięwzięcia deweloperskiego albo zadania inwestycyjnego</w:t>
            </w:r>
          </w:p>
          <w:p w14:paraId="5EB67D00"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p>
        </w:tc>
        <w:tc>
          <w:tcPr>
            <w:tcW w:w="3419" w:type="dxa"/>
            <w:shd w:val="clear" w:color="auto" w:fill="auto"/>
          </w:tcPr>
          <w:p w14:paraId="19E65F04"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Liczba budynków </w:t>
            </w:r>
          </w:p>
        </w:tc>
        <w:tc>
          <w:tcPr>
            <w:tcW w:w="3419" w:type="dxa"/>
            <w:shd w:val="clear" w:color="auto" w:fill="auto"/>
          </w:tcPr>
          <w:p w14:paraId="35D7D327" w14:textId="77777777" w:rsidR="00AD5AC5" w:rsidRPr="006110DC" w:rsidRDefault="00CA61A4" w:rsidP="00AD5AC5">
            <w:pPr>
              <w:spacing w:before="144" w:after="144" w:line="240" w:lineRule="auto"/>
              <w:jc w:val="both"/>
              <w:rPr>
                <w:rFonts w:ascii="Times New Roman" w:eastAsia="Times New Roman" w:hAnsi="Times New Roman" w:cs="Times New Roman"/>
                <w:color w:val="00B050"/>
                <w:sz w:val="20"/>
                <w:szCs w:val="20"/>
              </w:rPr>
            </w:pPr>
            <w:r w:rsidRPr="006110DC">
              <w:rPr>
                <w:rFonts w:ascii="Times New Roman" w:eastAsia="Times New Roman" w:hAnsi="Times New Roman" w:cs="Times New Roman"/>
                <w:color w:val="00B050"/>
                <w:sz w:val="20"/>
                <w:szCs w:val="20"/>
              </w:rPr>
              <w:t>1</w:t>
            </w:r>
            <w:r w:rsidR="003C34EE" w:rsidRPr="006110DC">
              <w:rPr>
                <w:rFonts w:ascii="Times New Roman" w:eastAsia="Times New Roman" w:hAnsi="Times New Roman" w:cs="Times New Roman"/>
                <w:color w:val="00B050"/>
                <w:sz w:val="20"/>
                <w:szCs w:val="20"/>
              </w:rPr>
              <w:t>2</w:t>
            </w:r>
            <w:r w:rsidR="006110DC" w:rsidRPr="006110DC">
              <w:rPr>
                <w:rFonts w:ascii="Century Gothic" w:hAnsi="Century Gothic"/>
                <w:color w:val="00B050"/>
              </w:rPr>
              <w:t xml:space="preserve"> </w:t>
            </w:r>
            <w:r w:rsidR="006110DC" w:rsidRPr="006110DC">
              <w:rPr>
                <w:rFonts w:ascii="Times New Roman" w:hAnsi="Times New Roman" w:cs="Times New Roman"/>
                <w:color w:val="00B050"/>
              </w:rPr>
              <w:t>budynków jednorodzinnych, dwu lokalowych w 6 zespołach zabudowy bliźniaczej</w:t>
            </w:r>
          </w:p>
        </w:tc>
      </w:tr>
      <w:tr w:rsidR="00D01837" w:rsidRPr="00D01837" w14:paraId="0E70B9A0" w14:textId="77777777">
        <w:trPr>
          <w:trHeight w:val="325"/>
        </w:trPr>
        <w:tc>
          <w:tcPr>
            <w:tcW w:w="2810" w:type="dxa"/>
            <w:vMerge/>
            <w:shd w:val="clear" w:color="auto" w:fill="F3F3F3"/>
          </w:tcPr>
          <w:p w14:paraId="3F2F4E0A"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shd w:val="clear" w:color="auto" w:fill="auto"/>
          </w:tcPr>
          <w:p w14:paraId="14D1B3F8"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Rozmieszczenie budynków na nieruchomości (należy podać minimalny odstęp między budynkami)</w:t>
            </w:r>
          </w:p>
        </w:tc>
        <w:tc>
          <w:tcPr>
            <w:tcW w:w="3419" w:type="dxa"/>
            <w:shd w:val="clear" w:color="auto" w:fill="auto"/>
          </w:tcPr>
          <w:p w14:paraId="4BF1FEDE" w14:textId="77777777" w:rsidR="006110DC" w:rsidRPr="00B24552" w:rsidRDefault="006110DC" w:rsidP="006110DC">
            <w:pPr>
              <w:spacing w:before="144" w:after="144" w:line="240" w:lineRule="auto"/>
              <w:jc w:val="both"/>
              <w:rPr>
                <w:rFonts w:ascii="Times New Roman" w:eastAsia="Times New Roman" w:hAnsi="Times New Roman" w:cs="Times New Roman"/>
                <w:color w:val="FF0000"/>
                <w:sz w:val="20"/>
                <w:szCs w:val="20"/>
              </w:rPr>
            </w:pPr>
            <w:r w:rsidRPr="00B24552">
              <w:rPr>
                <w:rFonts w:ascii="Times New Roman" w:eastAsia="Times New Roman" w:hAnsi="Times New Roman" w:cs="Times New Roman"/>
                <w:color w:val="FF0000"/>
                <w:sz w:val="20"/>
                <w:szCs w:val="20"/>
              </w:rPr>
              <w:t xml:space="preserve">Budynki w zabudowie bliźniaczej. Odległość pomiędzy zespołami budynków nie mniej niż 2,5 m. </w:t>
            </w:r>
          </w:p>
          <w:p w14:paraId="1DCB7952" w14:textId="77777777" w:rsidR="006110DC" w:rsidRPr="00B24552" w:rsidRDefault="006110DC" w:rsidP="006110DC">
            <w:pPr>
              <w:spacing w:before="144" w:after="144" w:line="240" w:lineRule="auto"/>
              <w:jc w:val="both"/>
              <w:rPr>
                <w:rFonts w:ascii="Times New Roman" w:eastAsia="Times New Roman" w:hAnsi="Times New Roman" w:cs="Times New Roman"/>
                <w:color w:val="FF0000"/>
                <w:sz w:val="20"/>
                <w:szCs w:val="20"/>
              </w:rPr>
            </w:pPr>
            <w:r w:rsidRPr="00B24552">
              <w:rPr>
                <w:rFonts w:ascii="Times New Roman" w:eastAsia="Times New Roman" w:hAnsi="Times New Roman" w:cs="Times New Roman"/>
                <w:color w:val="FF0000"/>
                <w:sz w:val="20"/>
                <w:szCs w:val="20"/>
              </w:rPr>
              <w:t>Odległość budynków od nieruchomości sąsiednich nie mniej niż 3,0 m.</w:t>
            </w:r>
          </w:p>
          <w:p w14:paraId="21F9FD22" w14:textId="77777777" w:rsidR="00691959" w:rsidRPr="006877C0" w:rsidRDefault="00691959" w:rsidP="00AD5AC5">
            <w:pPr>
              <w:spacing w:before="144" w:after="144" w:line="240" w:lineRule="auto"/>
              <w:jc w:val="both"/>
              <w:rPr>
                <w:rFonts w:ascii="Times New Roman" w:eastAsia="Times New Roman" w:hAnsi="Times New Roman" w:cs="Times New Roman"/>
                <w:color w:val="00B050"/>
                <w:sz w:val="20"/>
                <w:szCs w:val="20"/>
              </w:rPr>
            </w:pPr>
          </w:p>
        </w:tc>
      </w:tr>
      <w:tr w:rsidR="00D01837" w:rsidRPr="00D01837" w14:paraId="797670B7" w14:textId="77777777">
        <w:trPr>
          <w:trHeight w:val="488"/>
        </w:trPr>
        <w:tc>
          <w:tcPr>
            <w:tcW w:w="2810" w:type="dxa"/>
            <w:shd w:val="clear" w:color="auto" w:fill="F3F3F3"/>
          </w:tcPr>
          <w:p w14:paraId="158DF26A"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Sposób pomiaru powierzchni użytkowej lokalu mieszkalnego albo domu jednorodzinnego</w:t>
            </w:r>
          </w:p>
        </w:tc>
        <w:tc>
          <w:tcPr>
            <w:tcW w:w="6838" w:type="dxa"/>
            <w:gridSpan w:val="2"/>
            <w:shd w:val="clear" w:color="auto" w:fill="auto"/>
          </w:tcPr>
          <w:p w14:paraId="01998455" w14:textId="77777777" w:rsidR="00AD5AC5" w:rsidRPr="00E81AB9" w:rsidRDefault="006110DC" w:rsidP="00E81AB9">
            <w:pPr>
              <w:spacing w:after="0"/>
              <w:rPr>
                <w:rFonts w:ascii="Times New Roman" w:hAnsi="Times New Roman" w:cs="Times New Roman"/>
                <w:color w:val="00B050"/>
              </w:rPr>
            </w:pPr>
            <w:r w:rsidRPr="006110DC">
              <w:rPr>
                <w:rFonts w:ascii="Times New Roman" w:hAnsi="Times New Roman" w:cs="Times New Roman"/>
                <w:color w:val="00B050"/>
              </w:rPr>
              <w:t>Pomiaru powierzchni użytkowej lokalu dokonuje się na zasadach określonych w rozporządzeniu ministra transportu, budownictwa i gospodarki morskiej z dnia 25 kwietnia 2012 w sprawie szczegółowego zakresu i formy projektu budowlanego (</w:t>
            </w:r>
            <w:proofErr w:type="spellStart"/>
            <w:r w:rsidRPr="006110DC">
              <w:rPr>
                <w:rFonts w:ascii="Times New Roman" w:hAnsi="Times New Roman" w:cs="Times New Roman"/>
                <w:color w:val="00B050"/>
              </w:rPr>
              <w:t>dz.u</w:t>
            </w:r>
            <w:proofErr w:type="spellEnd"/>
            <w:r w:rsidRPr="006110DC">
              <w:rPr>
                <w:rFonts w:ascii="Times New Roman" w:hAnsi="Times New Roman" w:cs="Times New Roman"/>
                <w:color w:val="00B050"/>
              </w:rPr>
              <w:t xml:space="preserve">. z 2012r., poz. 462 ze zm.), to jest w oparciu o normę </w:t>
            </w:r>
            <w:r w:rsidRPr="006110DC">
              <w:rPr>
                <w:rFonts w:ascii="Times New Roman" w:hAnsi="Times New Roman" w:cs="Times New Roman"/>
                <w:b/>
                <w:bCs/>
                <w:color w:val="00B050"/>
              </w:rPr>
              <w:t>PN-ISO 9836:2022-07</w:t>
            </w:r>
            <w:r w:rsidRPr="006110DC">
              <w:rPr>
                <w:rFonts w:ascii="Times New Roman" w:hAnsi="Times New Roman" w:cs="Times New Roman"/>
                <w:color w:val="00B050"/>
              </w:rPr>
              <w:t xml:space="preserve">, przy czym pomiaru dokonuje się na poziomie podłogi, z dokładnością do 0,01m² (jedna setna metra kwadratowego), w mieszkaniu w stanie całkowicie </w:t>
            </w:r>
            <w:proofErr w:type="gramStart"/>
            <w:r w:rsidRPr="006110DC">
              <w:rPr>
                <w:rFonts w:ascii="Times New Roman" w:hAnsi="Times New Roman" w:cs="Times New Roman"/>
                <w:color w:val="00B050"/>
              </w:rPr>
              <w:t>wykończonym,  a</w:t>
            </w:r>
            <w:proofErr w:type="gramEnd"/>
            <w:r w:rsidRPr="006110DC">
              <w:rPr>
                <w:rFonts w:ascii="Times New Roman" w:hAnsi="Times New Roman" w:cs="Times New Roman"/>
                <w:color w:val="00B050"/>
              </w:rPr>
              <w:t xml:space="preserve"> więc z tynkami.</w:t>
            </w:r>
          </w:p>
        </w:tc>
      </w:tr>
      <w:tr w:rsidR="00D01837" w:rsidRPr="00D01837" w14:paraId="38F604D0" w14:textId="77777777">
        <w:tc>
          <w:tcPr>
            <w:tcW w:w="2810" w:type="dxa"/>
            <w:vMerge w:val="restart"/>
            <w:shd w:val="clear" w:color="auto" w:fill="F3F3F3"/>
          </w:tcPr>
          <w:p w14:paraId="4FCF1364"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Zamierzony sposób i procentowy udział źródeł finansowania przedsięwzięcia deweloperskiego lub zadania inwestycyjnego</w:t>
            </w:r>
          </w:p>
          <w:p w14:paraId="5627D2E5"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p>
        </w:tc>
        <w:tc>
          <w:tcPr>
            <w:tcW w:w="3419" w:type="dxa"/>
          </w:tcPr>
          <w:p w14:paraId="50D286CA"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Rodzaj posiadanych środków finansowych – kredyt, środki własne, inne</w:t>
            </w:r>
          </w:p>
        </w:tc>
        <w:tc>
          <w:tcPr>
            <w:tcW w:w="3419" w:type="dxa"/>
          </w:tcPr>
          <w:p w14:paraId="3789C6EE" w14:textId="77777777" w:rsidR="001C6C85" w:rsidRPr="001C6C85" w:rsidRDefault="001C6C85" w:rsidP="001C6C85">
            <w:pPr>
              <w:jc w:val="center"/>
              <w:rPr>
                <w:rFonts w:ascii="Times New Roman" w:hAnsi="Times New Roman" w:cs="Times New Roman"/>
                <w:color w:val="00B050"/>
                <w:sz w:val="20"/>
                <w:szCs w:val="20"/>
              </w:rPr>
            </w:pPr>
            <w:r w:rsidRPr="001C6C85">
              <w:rPr>
                <w:rFonts w:ascii="Times New Roman" w:hAnsi="Times New Roman" w:cs="Times New Roman"/>
                <w:color w:val="00B050"/>
                <w:sz w:val="20"/>
                <w:szCs w:val="20"/>
              </w:rPr>
              <w:t>70%- ŚRODKI WŁASNE</w:t>
            </w:r>
          </w:p>
          <w:p w14:paraId="3BA1603E" w14:textId="77777777" w:rsidR="001C6C85" w:rsidRPr="00D01837" w:rsidRDefault="001C6C85" w:rsidP="001C6C85">
            <w:pPr>
              <w:spacing w:before="144" w:after="144" w:line="240" w:lineRule="auto"/>
              <w:jc w:val="center"/>
              <w:rPr>
                <w:rFonts w:ascii="Times New Roman" w:eastAsia="Times New Roman" w:hAnsi="Times New Roman" w:cs="Times New Roman"/>
                <w:sz w:val="20"/>
                <w:szCs w:val="20"/>
              </w:rPr>
            </w:pPr>
            <w:r w:rsidRPr="001C6C85">
              <w:rPr>
                <w:rFonts w:ascii="Times New Roman" w:hAnsi="Times New Roman" w:cs="Times New Roman"/>
                <w:color w:val="00B050"/>
                <w:sz w:val="20"/>
                <w:szCs w:val="20"/>
              </w:rPr>
              <w:t>30%- ŚRODKI KLIENTÓW</w:t>
            </w:r>
          </w:p>
        </w:tc>
      </w:tr>
      <w:tr w:rsidR="00D01837" w:rsidRPr="00D01837" w14:paraId="36D455D7" w14:textId="77777777">
        <w:tc>
          <w:tcPr>
            <w:tcW w:w="2810" w:type="dxa"/>
            <w:vMerge/>
            <w:shd w:val="clear" w:color="auto" w:fill="F3F3F3"/>
          </w:tcPr>
          <w:p w14:paraId="512374AE"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tcPr>
          <w:p w14:paraId="58401E3C"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 następujących instytucjach finansowych (wypełnia się w przypadku kredytu)</w:t>
            </w:r>
          </w:p>
        </w:tc>
        <w:tc>
          <w:tcPr>
            <w:tcW w:w="3419" w:type="dxa"/>
          </w:tcPr>
          <w:p w14:paraId="2ED4DAA2" w14:textId="77777777" w:rsidR="00AD5AC5" w:rsidRPr="00D01837" w:rsidRDefault="001C6C85" w:rsidP="00AD5AC5">
            <w:pPr>
              <w:spacing w:before="144" w:after="144" w:line="240" w:lineRule="auto"/>
              <w:jc w:val="both"/>
              <w:rPr>
                <w:rFonts w:ascii="Times New Roman" w:eastAsia="Times New Roman" w:hAnsi="Times New Roman" w:cs="Times New Roman"/>
                <w:sz w:val="20"/>
                <w:szCs w:val="20"/>
              </w:rPr>
            </w:pPr>
            <w:r w:rsidRPr="001C6C85">
              <w:rPr>
                <w:rFonts w:ascii="Times New Roman" w:eastAsia="Times New Roman" w:hAnsi="Times New Roman" w:cs="Times New Roman"/>
                <w:sz w:val="20"/>
                <w:szCs w:val="20"/>
              </w:rPr>
              <w:t>Brak kredytu deweloperskiego.</w:t>
            </w:r>
          </w:p>
        </w:tc>
      </w:tr>
      <w:tr w:rsidR="00D01837" w:rsidRPr="00D01837" w14:paraId="12BB78F1" w14:textId="77777777">
        <w:trPr>
          <w:trHeight w:val="1481"/>
        </w:trPr>
        <w:tc>
          <w:tcPr>
            <w:tcW w:w="2810" w:type="dxa"/>
            <w:vMerge w:val="restart"/>
            <w:shd w:val="clear" w:color="auto" w:fill="F3F3F3"/>
          </w:tcPr>
          <w:p w14:paraId="0AEDDC8B" w14:textId="77777777" w:rsidR="00AD5AC5" w:rsidRPr="00D01837" w:rsidRDefault="00AD5AC5" w:rsidP="00AD5AC5">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lastRenderedPageBreak/>
              <w:t>Środki ochrony nabywców</w:t>
            </w:r>
          </w:p>
        </w:tc>
        <w:tc>
          <w:tcPr>
            <w:tcW w:w="3419" w:type="dxa"/>
          </w:tcPr>
          <w:p w14:paraId="62328641" w14:textId="77777777" w:rsidR="00AD5AC5"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Otwarty mieszkaniowy rachunek powierniczy*</w:t>
            </w:r>
          </w:p>
          <w:p w14:paraId="47554993" w14:textId="77777777" w:rsidR="001C6C85" w:rsidRPr="001C6C85" w:rsidRDefault="001C6C85" w:rsidP="00AD5AC5">
            <w:pPr>
              <w:spacing w:before="144" w:after="144" w:line="240" w:lineRule="auto"/>
              <w:jc w:val="both"/>
              <w:rPr>
                <w:rFonts w:ascii="Times New Roman" w:eastAsia="Times New Roman" w:hAnsi="Times New Roman" w:cs="Times New Roman"/>
                <w:color w:val="00B050"/>
                <w:sz w:val="20"/>
                <w:szCs w:val="20"/>
              </w:rPr>
            </w:pPr>
            <w:r w:rsidRPr="001C6C85">
              <w:rPr>
                <w:rFonts w:ascii="Times New Roman" w:eastAsia="Times New Roman" w:hAnsi="Times New Roman" w:cs="Times New Roman"/>
                <w:color w:val="00B050"/>
                <w:sz w:val="20"/>
                <w:szCs w:val="20"/>
              </w:rPr>
              <w:t xml:space="preserve">Nr </w:t>
            </w:r>
          </w:p>
        </w:tc>
        <w:tc>
          <w:tcPr>
            <w:tcW w:w="3419" w:type="dxa"/>
          </w:tcPr>
          <w:p w14:paraId="2DF45DB3" w14:textId="77777777" w:rsidR="00AD5AC5" w:rsidRPr="00D01837" w:rsidRDefault="00AD5AC5" w:rsidP="00AD5AC5">
            <w:pPr>
              <w:spacing w:before="144" w:after="144" w:line="240" w:lineRule="auto"/>
              <w:jc w:val="both"/>
              <w:rPr>
                <w:rFonts w:ascii="Times New Roman" w:eastAsia="Times New Roman" w:hAnsi="Times New Roman" w:cs="Times New Roman"/>
                <w:strike/>
                <w:sz w:val="20"/>
                <w:szCs w:val="20"/>
              </w:rPr>
            </w:pPr>
            <w:r w:rsidRPr="00D01837">
              <w:rPr>
                <w:rFonts w:ascii="Times New Roman" w:eastAsia="Times New Roman" w:hAnsi="Times New Roman" w:cs="Times New Roman"/>
                <w:strike/>
                <w:sz w:val="20"/>
                <w:szCs w:val="20"/>
              </w:rPr>
              <w:t>Zamknięty mieszkaniowy rachunek powierniczy*</w:t>
            </w:r>
          </w:p>
        </w:tc>
      </w:tr>
      <w:tr w:rsidR="00D01837" w:rsidRPr="00D01837" w14:paraId="624E5911" w14:textId="77777777">
        <w:tc>
          <w:tcPr>
            <w:tcW w:w="2810" w:type="dxa"/>
            <w:vMerge/>
            <w:shd w:val="clear" w:color="auto" w:fill="F3F3F3"/>
          </w:tcPr>
          <w:p w14:paraId="3D1B7205" w14:textId="77777777" w:rsidR="00AD5AC5" w:rsidRPr="00D01837" w:rsidRDefault="00AD5AC5" w:rsidP="00AD5AC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419" w:type="dxa"/>
          </w:tcPr>
          <w:p w14:paraId="60F1F3B2" w14:textId="77777777" w:rsidR="00AD5AC5" w:rsidRPr="00D01837" w:rsidRDefault="00AD5AC5" w:rsidP="00F05F3B">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Wysokość stawki procentowej, według której jest obliczana kwota składki na Deweloperski Fundusz Gwarancyjny</w:t>
            </w:r>
          </w:p>
        </w:tc>
        <w:tc>
          <w:tcPr>
            <w:tcW w:w="3419" w:type="dxa"/>
          </w:tcPr>
          <w:p w14:paraId="3D1ED140" w14:textId="77777777" w:rsidR="00AD5AC5" w:rsidRPr="001A1D13" w:rsidRDefault="00AD5AC5" w:rsidP="00AD5AC5">
            <w:pPr>
              <w:spacing w:before="144" w:after="144" w:line="240" w:lineRule="auto"/>
              <w:jc w:val="both"/>
              <w:rPr>
                <w:rFonts w:ascii="Times New Roman" w:eastAsia="Times New Roman" w:hAnsi="Times New Roman" w:cs="Times New Roman"/>
                <w:color w:val="00B050"/>
                <w:sz w:val="20"/>
                <w:szCs w:val="20"/>
              </w:rPr>
            </w:pPr>
            <w:r w:rsidRPr="001A1D13">
              <w:rPr>
                <w:rFonts w:ascii="Times New Roman" w:eastAsia="Times New Roman" w:hAnsi="Times New Roman" w:cs="Times New Roman"/>
                <w:color w:val="00B050"/>
                <w:sz w:val="20"/>
                <w:szCs w:val="20"/>
              </w:rPr>
              <w:t>0,45%</w:t>
            </w:r>
          </w:p>
        </w:tc>
      </w:tr>
      <w:tr w:rsidR="001C6C85" w:rsidRPr="00D01837" w14:paraId="3F330C9D" w14:textId="77777777" w:rsidTr="001C6C85">
        <w:trPr>
          <w:trHeight w:val="180"/>
        </w:trPr>
        <w:tc>
          <w:tcPr>
            <w:tcW w:w="2810" w:type="dxa"/>
            <w:vMerge w:val="restart"/>
            <w:shd w:val="clear" w:color="auto" w:fill="F3F3F3"/>
          </w:tcPr>
          <w:p w14:paraId="72BBD2B0" w14:textId="77777777" w:rsidR="001C6C85" w:rsidRPr="00D01837" w:rsidRDefault="001C6C85" w:rsidP="00AD5AC5">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Główne zasady funkcjonowania wybranego rodzaju zabezpieczenia środków nabywcy</w:t>
            </w:r>
          </w:p>
        </w:tc>
        <w:tc>
          <w:tcPr>
            <w:tcW w:w="6838" w:type="dxa"/>
            <w:gridSpan w:val="2"/>
            <w:tcBorders>
              <w:bottom w:val="single" w:sz="4" w:space="0" w:color="auto"/>
            </w:tcBorders>
          </w:tcPr>
          <w:p w14:paraId="2A8EB142" w14:textId="77777777" w:rsidR="001C6C85" w:rsidRPr="00D01837" w:rsidRDefault="006D6F88" w:rsidP="00AD5AC5">
            <w:pPr>
              <w:spacing w:before="144" w:after="144" w:line="240" w:lineRule="auto"/>
              <w:jc w:val="both"/>
              <w:rPr>
                <w:rFonts w:ascii="Times New Roman" w:eastAsia="Times New Roman" w:hAnsi="Times New Roman" w:cs="Times New Roman"/>
                <w:sz w:val="20"/>
                <w:szCs w:val="20"/>
              </w:rPr>
            </w:pPr>
            <w:r w:rsidRPr="006D6F88">
              <w:rPr>
                <w:rFonts w:ascii="Times New Roman" w:eastAsia="Times New Roman" w:hAnsi="Times New Roman" w:cs="Times New Roman"/>
                <w:sz w:val="20"/>
                <w:szCs w:val="20"/>
              </w:rPr>
              <w:t>Wypłata środków z mieszkaniowego rachunku powierniczego</w:t>
            </w:r>
          </w:p>
        </w:tc>
      </w:tr>
      <w:tr w:rsidR="001C6C85" w:rsidRPr="00D01837" w14:paraId="1A2D23A8" w14:textId="77777777" w:rsidTr="001C6C85">
        <w:trPr>
          <w:trHeight w:val="2772"/>
        </w:trPr>
        <w:tc>
          <w:tcPr>
            <w:tcW w:w="2810" w:type="dxa"/>
            <w:vMerge/>
            <w:shd w:val="clear" w:color="auto" w:fill="F3F3F3"/>
          </w:tcPr>
          <w:p w14:paraId="2477C27F" w14:textId="77777777" w:rsidR="001C6C85" w:rsidRPr="00D01837" w:rsidRDefault="001C6C85" w:rsidP="00AD5AC5">
            <w:pPr>
              <w:spacing w:before="144" w:after="144" w:line="240" w:lineRule="auto"/>
              <w:rPr>
                <w:rFonts w:ascii="Times New Roman" w:eastAsia="Times New Roman" w:hAnsi="Times New Roman" w:cs="Times New Roman"/>
                <w:sz w:val="20"/>
                <w:szCs w:val="20"/>
              </w:rPr>
            </w:pPr>
          </w:p>
        </w:tc>
        <w:tc>
          <w:tcPr>
            <w:tcW w:w="6838" w:type="dxa"/>
            <w:gridSpan w:val="2"/>
            <w:tcBorders>
              <w:top w:val="single" w:sz="4" w:space="0" w:color="auto"/>
            </w:tcBorders>
          </w:tcPr>
          <w:p w14:paraId="216D4559" w14:textId="77777777" w:rsidR="000A1B3A" w:rsidRPr="000A1B3A" w:rsidRDefault="000A1B3A" w:rsidP="000A1B3A">
            <w:pPr>
              <w:spacing w:after="0"/>
              <w:jc w:val="both"/>
              <w:rPr>
                <w:rStyle w:val="color"/>
                <w:rFonts w:ascii="Times New Roman" w:hAnsi="Times New Roman" w:cs="Times New Roman"/>
                <w:color w:val="00B050"/>
                <w:sz w:val="20"/>
                <w:szCs w:val="20"/>
              </w:rPr>
            </w:pPr>
            <w:r w:rsidRPr="000A1B3A">
              <w:rPr>
                <w:rFonts w:ascii="Times New Roman" w:eastAsia="Times New Roman" w:hAnsi="Times New Roman" w:cs="Times New Roman"/>
                <w:color w:val="00B050"/>
                <w:sz w:val="20"/>
                <w:szCs w:val="20"/>
              </w:rPr>
              <w:t xml:space="preserve">Art. 7.1 </w:t>
            </w:r>
            <w:r w:rsidRPr="000A1B3A">
              <w:rPr>
                <w:rFonts w:ascii="Times New Roman" w:hAnsi="Times New Roman" w:cs="Times New Roman"/>
                <w:color w:val="00B050"/>
                <w:sz w:val="20"/>
                <w:szCs w:val="20"/>
              </w:rPr>
              <w:t>D</w:t>
            </w:r>
            <w:r w:rsidRPr="000A1B3A">
              <w:rPr>
                <w:rStyle w:val="color"/>
                <w:rFonts w:ascii="Times New Roman" w:hAnsi="Times New Roman" w:cs="Times New Roman"/>
                <w:color w:val="00B050"/>
                <w:sz w:val="20"/>
                <w:szCs w:val="20"/>
              </w:rPr>
              <w:t>eweloper, który rozpoczyna sprzedaż, ma obowiązek zawarcia umowy otwartego mieszkaniowego rachunku powierniczego albo zamkniętego mieszkaniowego rachunku powierniczego, zwanego dalej „mieszkaniowym rachunkiem powierniczym”, dla danego przedsięwzięcia deweloperskiego.</w:t>
            </w:r>
          </w:p>
          <w:p w14:paraId="780A3E8C" w14:textId="77777777" w:rsidR="000A1B3A" w:rsidRPr="000A1B3A" w:rsidRDefault="000A1B3A" w:rsidP="000A1B3A">
            <w:pPr>
              <w:spacing w:after="0"/>
              <w:jc w:val="both"/>
              <w:rPr>
                <w:rFonts w:ascii="Times New Roman" w:eastAsia="Times New Roman" w:hAnsi="Times New Roman" w:cs="Times New Roman"/>
                <w:color w:val="00B050"/>
                <w:sz w:val="20"/>
                <w:szCs w:val="20"/>
              </w:rPr>
            </w:pPr>
            <w:r w:rsidRPr="000A1B3A">
              <w:rPr>
                <w:rFonts w:ascii="Times New Roman" w:eastAsia="Times New Roman" w:hAnsi="Times New Roman" w:cs="Times New Roman"/>
                <w:color w:val="00B050"/>
                <w:sz w:val="20"/>
                <w:szCs w:val="20"/>
              </w:rPr>
              <w:t xml:space="preserve">Art. 8.1 Nabywca dokonuje wpłat na mieszkaniowy rachunek powierniczy </w:t>
            </w:r>
          </w:p>
          <w:p w14:paraId="3C0E6B2F" w14:textId="77777777" w:rsidR="000A1B3A" w:rsidRPr="000A1B3A" w:rsidRDefault="000A1B3A" w:rsidP="000A1B3A">
            <w:pPr>
              <w:spacing w:after="0"/>
              <w:jc w:val="both"/>
              <w:rPr>
                <w:rFonts w:ascii="Times New Roman" w:eastAsia="Times New Roman" w:hAnsi="Times New Roman" w:cs="Times New Roman"/>
                <w:color w:val="00B050"/>
                <w:sz w:val="20"/>
                <w:szCs w:val="20"/>
              </w:rPr>
            </w:pPr>
            <w:r w:rsidRPr="000A1B3A">
              <w:rPr>
                <w:rFonts w:ascii="Times New Roman" w:eastAsia="Times New Roman" w:hAnsi="Times New Roman" w:cs="Times New Roman"/>
                <w:color w:val="00B050"/>
                <w:sz w:val="20"/>
                <w:szCs w:val="20"/>
              </w:rPr>
              <w:t xml:space="preserve">zgodnie z postępem realizacji przedsięwzięcia deweloperskiego lub zadania </w:t>
            </w:r>
          </w:p>
          <w:p w14:paraId="1032BA53" w14:textId="77777777" w:rsidR="000A1B3A" w:rsidRPr="000A1B3A" w:rsidRDefault="000A1B3A" w:rsidP="000A1B3A">
            <w:pPr>
              <w:spacing w:after="0"/>
              <w:jc w:val="both"/>
              <w:rPr>
                <w:rFonts w:ascii="Times New Roman" w:eastAsia="Times New Roman" w:hAnsi="Times New Roman" w:cs="Times New Roman"/>
                <w:color w:val="00B050"/>
                <w:sz w:val="20"/>
                <w:szCs w:val="20"/>
              </w:rPr>
            </w:pPr>
            <w:r w:rsidRPr="000A1B3A">
              <w:rPr>
                <w:rFonts w:ascii="Times New Roman" w:eastAsia="Times New Roman" w:hAnsi="Times New Roman" w:cs="Times New Roman"/>
                <w:color w:val="00B050"/>
                <w:sz w:val="20"/>
                <w:szCs w:val="20"/>
              </w:rPr>
              <w:t>inwestycyjnego.</w:t>
            </w:r>
          </w:p>
          <w:p w14:paraId="0522CA3D" w14:textId="77777777" w:rsidR="000A1B3A" w:rsidRPr="000A1B3A" w:rsidRDefault="000A1B3A" w:rsidP="000A1B3A">
            <w:pPr>
              <w:spacing w:after="0"/>
              <w:jc w:val="both"/>
              <w:rPr>
                <w:rFonts w:ascii="Times New Roman" w:eastAsia="Times New Roman" w:hAnsi="Times New Roman" w:cs="Times New Roman"/>
                <w:color w:val="00B050"/>
                <w:sz w:val="20"/>
                <w:szCs w:val="20"/>
              </w:rPr>
            </w:pPr>
            <w:r w:rsidRPr="000A1B3A">
              <w:rPr>
                <w:rFonts w:ascii="Times New Roman" w:eastAsia="Times New Roman" w:hAnsi="Times New Roman" w:cs="Times New Roman"/>
                <w:color w:val="00B050"/>
                <w:sz w:val="20"/>
                <w:szCs w:val="20"/>
              </w:rPr>
              <w:t xml:space="preserve">Art. 9.1 Prawo wypowiedzenia umowy mieszkaniowego rachunku </w:t>
            </w:r>
          </w:p>
          <w:p w14:paraId="22B52F99" w14:textId="77777777" w:rsidR="000A1B3A" w:rsidRPr="000A1B3A" w:rsidRDefault="000A1B3A" w:rsidP="000A1B3A">
            <w:pPr>
              <w:spacing w:after="0"/>
              <w:jc w:val="both"/>
              <w:rPr>
                <w:rFonts w:ascii="Times New Roman" w:eastAsia="Times New Roman" w:hAnsi="Times New Roman" w:cs="Times New Roman"/>
                <w:color w:val="00B050"/>
                <w:sz w:val="20"/>
                <w:szCs w:val="20"/>
              </w:rPr>
            </w:pPr>
            <w:r w:rsidRPr="000A1B3A">
              <w:rPr>
                <w:rFonts w:ascii="Times New Roman" w:eastAsia="Times New Roman" w:hAnsi="Times New Roman" w:cs="Times New Roman"/>
                <w:color w:val="00B050"/>
                <w:sz w:val="20"/>
                <w:szCs w:val="20"/>
              </w:rPr>
              <w:t>powierniczego przysługuje wyłącznie bankowi lub kasie i tylko z ważnych powodów.</w:t>
            </w:r>
          </w:p>
          <w:p w14:paraId="1BEFC538" w14:textId="77777777" w:rsidR="000A1B3A" w:rsidRPr="000A1B3A" w:rsidRDefault="000A1B3A" w:rsidP="000A1B3A">
            <w:pPr>
              <w:spacing w:after="0"/>
              <w:jc w:val="both"/>
              <w:rPr>
                <w:rFonts w:ascii="Times New Roman" w:eastAsia="Times New Roman" w:hAnsi="Times New Roman" w:cs="Times New Roman"/>
                <w:color w:val="00B050"/>
                <w:sz w:val="20"/>
                <w:szCs w:val="20"/>
              </w:rPr>
            </w:pPr>
            <w:r w:rsidRPr="000A1B3A">
              <w:rPr>
                <w:rFonts w:ascii="Times New Roman" w:eastAsia="Times New Roman" w:hAnsi="Times New Roman" w:cs="Times New Roman"/>
                <w:color w:val="00B050"/>
                <w:sz w:val="20"/>
                <w:szCs w:val="20"/>
              </w:rPr>
              <w:t>Art.10.</w:t>
            </w:r>
            <w:proofErr w:type="gramStart"/>
            <w:r w:rsidRPr="000A1B3A">
              <w:rPr>
                <w:rFonts w:ascii="Times New Roman" w:eastAsia="Times New Roman" w:hAnsi="Times New Roman" w:cs="Times New Roman"/>
                <w:color w:val="00B050"/>
                <w:sz w:val="20"/>
                <w:szCs w:val="20"/>
              </w:rPr>
              <w:t>1,W</w:t>
            </w:r>
            <w:proofErr w:type="gramEnd"/>
            <w:r w:rsidRPr="000A1B3A">
              <w:rPr>
                <w:rFonts w:ascii="Times New Roman" w:eastAsia="Times New Roman" w:hAnsi="Times New Roman" w:cs="Times New Roman"/>
                <w:color w:val="00B050"/>
                <w:sz w:val="20"/>
                <w:szCs w:val="20"/>
              </w:rPr>
              <w:t xml:space="preserve"> przypadku wypowiedzenia umowy mieszkaniowego rachunku </w:t>
            </w:r>
          </w:p>
          <w:p w14:paraId="586DB781" w14:textId="77777777" w:rsidR="000A1B3A" w:rsidRPr="000A1B3A" w:rsidRDefault="000A1B3A" w:rsidP="000A1B3A">
            <w:pPr>
              <w:spacing w:after="0"/>
              <w:jc w:val="both"/>
              <w:rPr>
                <w:rFonts w:ascii="Times New Roman" w:eastAsia="Times New Roman" w:hAnsi="Times New Roman" w:cs="Times New Roman"/>
                <w:color w:val="00B050"/>
                <w:sz w:val="20"/>
                <w:szCs w:val="20"/>
              </w:rPr>
            </w:pPr>
            <w:r w:rsidRPr="000A1B3A">
              <w:rPr>
                <w:rFonts w:ascii="Times New Roman" w:eastAsia="Times New Roman" w:hAnsi="Times New Roman" w:cs="Times New Roman"/>
                <w:color w:val="00B050"/>
                <w:sz w:val="20"/>
                <w:szCs w:val="20"/>
              </w:rPr>
              <w:t xml:space="preserve">powierniczego deweloper niezwłocznie zawiera z innym bankiem lub inną kasą </w:t>
            </w:r>
          </w:p>
          <w:p w14:paraId="0425B89E" w14:textId="77777777" w:rsidR="000A1B3A" w:rsidRPr="000A1B3A" w:rsidRDefault="000A1B3A" w:rsidP="000A1B3A">
            <w:pPr>
              <w:spacing w:after="0"/>
              <w:jc w:val="both"/>
              <w:rPr>
                <w:rFonts w:ascii="Times New Roman" w:eastAsia="Times New Roman" w:hAnsi="Times New Roman" w:cs="Times New Roman"/>
                <w:color w:val="00B050"/>
                <w:sz w:val="20"/>
                <w:szCs w:val="20"/>
              </w:rPr>
            </w:pPr>
            <w:r w:rsidRPr="000A1B3A">
              <w:rPr>
                <w:rFonts w:ascii="Times New Roman" w:eastAsia="Times New Roman" w:hAnsi="Times New Roman" w:cs="Times New Roman"/>
                <w:color w:val="00B050"/>
                <w:sz w:val="20"/>
                <w:szCs w:val="20"/>
              </w:rPr>
              <w:t xml:space="preserve">umowę mieszkaniowego rachunku powierniczego, jednak nie później niż w terminie 60 dni od dnia wypowiedzenia tej umowy przez bank lub kasę, z </w:t>
            </w:r>
            <w:proofErr w:type="gramStart"/>
            <w:r w:rsidRPr="000A1B3A">
              <w:rPr>
                <w:rFonts w:ascii="Times New Roman" w:eastAsia="Times New Roman" w:hAnsi="Times New Roman" w:cs="Times New Roman"/>
                <w:color w:val="00B050"/>
                <w:sz w:val="20"/>
                <w:szCs w:val="20"/>
              </w:rPr>
              <w:t>zastrzeżeniem</w:t>
            </w:r>
            <w:proofErr w:type="gramEnd"/>
            <w:r w:rsidRPr="000A1B3A">
              <w:rPr>
                <w:rFonts w:ascii="Times New Roman" w:eastAsia="Times New Roman" w:hAnsi="Times New Roman" w:cs="Times New Roman"/>
                <w:color w:val="00B050"/>
                <w:sz w:val="20"/>
                <w:szCs w:val="20"/>
              </w:rPr>
              <w:t xml:space="preserve"> że przedmiotem zawieranej umowy jest prowadzenie takiego samego rodzaju mieszkaniowego rachunku powierniczego jak w przypadku umowy, która została wypowiedziana.</w:t>
            </w:r>
          </w:p>
          <w:p w14:paraId="36283654" w14:textId="77777777" w:rsidR="000A1B3A" w:rsidRPr="000A1B3A" w:rsidRDefault="000A1B3A" w:rsidP="000A1B3A">
            <w:pPr>
              <w:spacing w:after="0"/>
              <w:jc w:val="both"/>
              <w:rPr>
                <w:rFonts w:ascii="Times New Roman" w:eastAsia="Times New Roman" w:hAnsi="Times New Roman" w:cs="Times New Roman"/>
                <w:color w:val="00B050"/>
                <w:sz w:val="20"/>
                <w:szCs w:val="20"/>
              </w:rPr>
            </w:pPr>
            <w:r w:rsidRPr="000A1B3A">
              <w:rPr>
                <w:rFonts w:ascii="Times New Roman" w:eastAsia="Times New Roman" w:hAnsi="Times New Roman" w:cs="Times New Roman"/>
                <w:color w:val="00B050"/>
                <w:sz w:val="20"/>
                <w:szCs w:val="20"/>
              </w:rPr>
              <w:t xml:space="preserve">Art. 14.1 Koszty, opłaty i prowizje za prowadzenie mieszkaniowego rachunku </w:t>
            </w:r>
          </w:p>
          <w:p w14:paraId="3FB8FF72" w14:textId="77777777" w:rsidR="000A1B3A" w:rsidRDefault="000A1B3A" w:rsidP="000A1B3A">
            <w:pPr>
              <w:spacing w:after="0"/>
              <w:jc w:val="both"/>
              <w:rPr>
                <w:rFonts w:ascii="Times New Roman" w:eastAsia="Times New Roman" w:hAnsi="Times New Roman" w:cs="Times New Roman"/>
                <w:sz w:val="20"/>
                <w:szCs w:val="20"/>
              </w:rPr>
            </w:pPr>
            <w:r w:rsidRPr="000A1B3A">
              <w:rPr>
                <w:rFonts w:ascii="Times New Roman" w:eastAsia="Times New Roman" w:hAnsi="Times New Roman" w:cs="Times New Roman"/>
                <w:color w:val="00B050"/>
                <w:sz w:val="20"/>
                <w:szCs w:val="20"/>
              </w:rPr>
              <w:t>powierniczego obciążają dewelopera</w:t>
            </w:r>
            <w:r w:rsidRPr="000A1B3A">
              <w:rPr>
                <w:rFonts w:ascii="Times New Roman" w:eastAsia="Times New Roman" w:hAnsi="Times New Roman" w:cs="Times New Roman"/>
                <w:sz w:val="20"/>
                <w:szCs w:val="20"/>
              </w:rPr>
              <w:t>.</w:t>
            </w:r>
          </w:p>
          <w:p w14:paraId="372C8478" w14:textId="77777777" w:rsidR="000A1B3A" w:rsidRPr="000A1B3A" w:rsidRDefault="000A1B3A" w:rsidP="000A1B3A">
            <w:pPr>
              <w:spacing w:after="0"/>
              <w:jc w:val="both"/>
              <w:rPr>
                <w:rFonts w:ascii="Times New Roman" w:eastAsia="Times New Roman" w:hAnsi="Times New Roman" w:cs="Times New Roman"/>
                <w:sz w:val="20"/>
                <w:szCs w:val="20"/>
              </w:rPr>
            </w:pPr>
          </w:p>
          <w:p w14:paraId="41E2B115" w14:textId="77777777" w:rsidR="006D6F88" w:rsidRPr="006D6F88" w:rsidRDefault="006D6F88" w:rsidP="000A1B3A">
            <w:pPr>
              <w:spacing w:after="0"/>
              <w:jc w:val="both"/>
              <w:rPr>
                <w:rFonts w:ascii="Times New Roman" w:eastAsia="Times New Roman" w:hAnsi="Times New Roman" w:cs="Times New Roman"/>
                <w:color w:val="00B050"/>
                <w:sz w:val="20"/>
                <w:szCs w:val="20"/>
                <w:lang w:val="en-US"/>
              </w:rPr>
            </w:pPr>
            <w:proofErr w:type="spellStart"/>
            <w:r w:rsidRPr="006D6F88">
              <w:rPr>
                <w:rFonts w:ascii="Times New Roman" w:eastAsia="Times New Roman" w:hAnsi="Times New Roman" w:cs="Times New Roman"/>
                <w:color w:val="00B050"/>
                <w:sz w:val="20"/>
                <w:szCs w:val="20"/>
                <w:lang w:val="en-US"/>
              </w:rPr>
              <w:t>Wypłata</w:t>
            </w:r>
            <w:proofErr w:type="spellEnd"/>
            <w:r w:rsidRPr="006D6F88">
              <w:rPr>
                <w:rFonts w:ascii="Times New Roman" w:eastAsia="Times New Roman" w:hAnsi="Times New Roman" w:cs="Times New Roman"/>
                <w:color w:val="00B050"/>
                <w:sz w:val="20"/>
                <w:szCs w:val="20"/>
                <w:lang w:val="en-US"/>
              </w:rPr>
              <w:t xml:space="preserve"> </w:t>
            </w:r>
            <w:proofErr w:type="spellStart"/>
            <w:r w:rsidRPr="006D6F88">
              <w:rPr>
                <w:rFonts w:ascii="Times New Roman" w:eastAsia="Times New Roman" w:hAnsi="Times New Roman" w:cs="Times New Roman"/>
                <w:color w:val="00B050"/>
                <w:sz w:val="20"/>
                <w:szCs w:val="20"/>
                <w:lang w:val="en-US"/>
              </w:rPr>
              <w:t>środków</w:t>
            </w:r>
            <w:proofErr w:type="spellEnd"/>
            <w:r w:rsidRPr="006D6F88">
              <w:rPr>
                <w:rFonts w:ascii="Times New Roman" w:eastAsia="Times New Roman" w:hAnsi="Times New Roman" w:cs="Times New Roman"/>
                <w:color w:val="00B050"/>
                <w:sz w:val="20"/>
                <w:szCs w:val="20"/>
                <w:lang w:val="en-US"/>
              </w:rPr>
              <w:t xml:space="preserve"> z </w:t>
            </w:r>
            <w:proofErr w:type="spellStart"/>
            <w:r w:rsidRPr="006D6F88">
              <w:rPr>
                <w:rFonts w:ascii="Times New Roman" w:eastAsia="Times New Roman" w:hAnsi="Times New Roman" w:cs="Times New Roman"/>
                <w:color w:val="00B050"/>
                <w:sz w:val="20"/>
                <w:szCs w:val="20"/>
                <w:lang w:val="en-US"/>
              </w:rPr>
              <w:t>mieszkaniowego</w:t>
            </w:r>
            <w:proofErr w:type="spellEnd"/>
            <w:r w:rsidRPr="006D6F88">
              <w:rPr>
                <w:rFonts w:ascii="Times New Roman" w:eastAsia="Times New Roman" w:hAnsi="Times New Roman" w:cs="Times New Roman"/>
                <w:color w:val="00B050"/>
                <w:sz w:val="20"/>
                <w:szCs w:val="20"/>
                <w:lang w:val="en-US"/>
              </w:rPr>
              <w:t xml:space="preserve"> </w:t>
            </w:r>
            <w:proofErr w:type="spellStart"/>
            <w:r w:rsidRPr="006D6F88">
              <w:rPr>
                <w:rFonts w:ascii="Times New Roman" w:eastAsia="Times New Roman" w:hAnsi="Times New Roman" w:cs="Times New Roman"/>
                <w:color w:val="00B050"/>
                <w:sz w:val="20"/>
                <w:szCs w:val="20"/>
                <w:lang w:val="en-US"/>
              </w:rPr>
              <w:t>rachunku</w:t>
            </w:r>
            <w:proofErr w:type="spellEnd"/>
            <w:r w:rsidRPr="006D6F88">
              <w:rPr>
                <w:rFonts w:ascii="Times New Roman" w:eastAsia="Times New Roman" w:hAnsi="Times New Roman" w:cs="Times New Roman"/>
                <w:color w:val="00B050"/>
                <w:sz w:val="20"/>
                <w:szCs w:val="20"/>
                <w:lang w:val="en-US"/>
              </w:rPr>
              <w:t xml:space="preserve"> </w:t>
            </w:r>
            <w:proofErr w:type="spellStart"/>
            <w:r w:rsidRPr="006D6F88">
              <w:rPr>
                <w:rFonts w:ascii="Times New Roman" w:eastAsia="Times New Roman" w:hAnsi="Times New Roman" w:cs="Times New Roman"/>
                <w:color w:val="00B050"/>
                <w:sz w:val="20"/>
                <w:szCs w:val="20"/>
                <w:lang w:val="en-US"/>
              </w:rPr>
              <w:t>powierniczego</w:t>
            </w:r>
            <w:proofErr w:type="spellEnd"/>
          </w:p>
          <w:p w14:paraId="30B04307"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 xml:space="preserve">Art. 16. </w:t>
            </w:r>
          </w:p>
          <w:p w14:paraId="7508398F"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1. W związku z realizacją przez dewelopera umowy deweloperskiej lub umowy, o której mowa w art. 2 ust. 2 pkt 1 lub 3, bank lub kasa wypłaca deweloperowi środki pieniężne wpłacone przez nabywcę na otwarty mieszkaniowy rachunek powierniczy,</w:t>
            </w:r>
            <w:r>
              <w:rPr>
                <w:rFonts w:ascii="Times New Roman" w:eastAsia="Times New Roman" w:hAnsi="Times New Roman" w:cs="Times New Roman"/>
                <w:color w:val="00B050"/>
                <w:sz w:val="20"/>
                <w:szCs w:val="20"/>
                <w:lang w:val="en-US"/>
              </w:rPr>
              <w:t xml:space="preserve"> </w:t>
            </w:r>
            <w:r w:rsidRPr="006D6F88">
              <w:rPr>
                <w:rFonts w:ascii="Times New Roman" w:eastAsia="Times New Roman" w:hAnsi="Times New Roman" w:cs="Times New Roman"/>
                <w:color w:val="00B050"/>
                <w:sz w:val="20"/>
                <w:szCs w:val="20"/>
              </w:rPr>
              <w:t>nie wcześniej niż po 30 dniach od dnia zawarcia umowy deweloperskiej i po stwierdzeniu zakończenia danego etapu realizacji przedsięwzięcia deweloperskiego lub zadania inwestycyjnego, w wysokości kwoty stanowiącej iloczyn procentu kosztów danego etapu określonego w harmonogramie przedsięwzięcia deweloperskiego lub zadania inwestycyjnego oraz:</w:t>
            </w:r>
          </w:p>
          <w:p w14:paraId="579510DE"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1) ceny lokalu mieszkalnego albo domu jednorodzinnego albo</w:t>
            </w:r>
          </w:p>
          <w:p w14:paraId="0CB50079"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2) ceny lokalu mieszkalnego i lokalu użytkowego albo domu jednorodzinnego i lokalu użytkowego – w przypadku umowy, o której mowa w art. 2 ust. 2 pkt 1 lub 3.</w:t>
            </w:r>
          </w:p>
          <w:p w14:paraId="16DFE40C"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2. W przypadku zakończenia ostatniego etapu przedsięwzięcia deweloperskiego lub zadania inwestycyjnego, określonego w ich harmonogramach, bank lub kasa wypłaca deweloperowi pozostałe na otwartym mieszkaniowym rachunku powierniczym środki pieniężne wpłacone przez nabywcę na poczet realizacji ostatniego etapu prac po otrzymaniu wypisu aktu notarialnego umowy przenoszącej na nabywcę prawa wynikające z umowy deweloperskiej lub umowy, o której mowa w art. 2 ust. 2 pkt 1 lub 3,  w stanie wolnym od obciążeń, praw i roszczeń osób trzecich, z wyjątkiem obciążeń, na które wyraził zgodę nabywca.</w:t>
            </w:r>
          </w:p>
          <w:p w14:paraId="263C5BC8"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lastRenderedPageBreak/>
              <w:t xml:space="preserve">Art. 17. </w:t>
            </w:r>
          </w:p>
          <w:p w14:paraId="7499BCB4"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1. Bank lub kasa dokonuje kontroli zakończenia każdego z etapów przedsięwzięcia deweloperskiego lub zadania inwestycyjnego przed wypłatą środków pieniężnych, o których mowa w art. 16 ust. 1 i 3.</w:t>
            </w:r>
          </w:p>
          <w:p w14:paraId="48E9364F"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2. W trakcie kontroli bank lub kasa ma prawo wglądu do rachunków bankowych dewelopera oraz kontroli dokumentacji w zakresie dotyczącym przedsięwzięcia deweloperskiego lub zadania inwestycyjnego.</w:t>
            </w:r>
          </w:p>
          <w:p w14:paraId="35D54459"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3. Koszty kontroli ponosi deweloper.</w:t>
            </w:r>
          </w:p>
          <w:p w14:paraId="51ABE764"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4. Kontrola obejmuje:</w:t>
            </w:r>
          </w:p>
          <w:p w14:paraId="4AD8D818"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1) sprawdzenie, czy:</w:t>
            </w:r>
          </w:p>
          <w:p w14:paraId="7BE6F8B7"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a) 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art. 38 ust. 2, w przypadku, gdy deweloper nie jest właścicielem albo użytkownikiem wieczystym nieruchomości,</w:t>
            </w:r>
          </w:p>
          <w:p w14:paraId="66E0892D"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b) wobec dewelopera nie zostało wszczęte postępowanie restrukturyzacyjne albo upadłościowe, przez weryfikację wpisu w Krajowym Rejestrze Sądowym oraz informacji zawartych w Krajowym Rejestrze Zadłużonych,</w:t>
            </w:r>
          </w:p>
          <w:p w14:paraId="4EFB7790"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c) deweloper posiada pozwolenie na budowę albo dokonał zgłoszenia budowy, o której mowa w art. 29 ust. 1 pkt 1 ustawy z dnia 7 lipca 1994 r. – Prawo budowlane, do którego organ administracji architektoniczno-budowlanej nie wniósł sprzeciwu,</w:t>
            </w:r>
          </w:p>
          <w:p w14:paraId="20269E97"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d) planowane przez dewelopera przeznaczenie środków, które będą wypłacone z otwartego mieszkaniowego rachunku powierniczego, jest zgodne ze sposobem wydatkowania środków określonym w art. 13,</w:t>
            </w:r>
          </w:p>
          <w:p w14:paraId="049EC114"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e) wydatkowanie środków wypłaconych z otwartego mieszkaniowego rachunku powierniczego jest zgodne ze sposobem wydatkowania środków określonym w art. 13,</w:t>
            </w:r>
          </w:p>
          <w:p w14:paraId="5961D4E9"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rPr>
            </w:pPr>
            <w:r w:rsidRPr="006D6F88">
              <w:rPr>
                <w:rFonts w:ascii="Times New Roman" w:eastAsia="Times New Roman" w:hAnsi="Times New Roman" w:cs="Times New Roman"/>
                <w:color w:val="00B050"/>
                <w:sz w:val="20"/>
                <w:szCs w:val="20"/>
              </w:rPr>
              <w:t>f) deweloper nie zalega z podatkami i składkami na ubezpieczenie społeczne i zdrowotne,</w:t>
            </w:r>
          </w:p>
          <w:p w14:paraId="1931D4C6"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g) deweloper uregulował wymagalne i bezsporne zobowiązania pieniężne wobec wykonawców lub podwykonawców,</w:t>
            </w:r>
          </w:p>
          <w:p w14:paraId="27BC7983"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h) deweloper dokonał wpłaty składki, o której mowa w art. 49, w należnej wysokości,</w:t>
            </w:r>
          </w:p>
          <w:p w14:paraId="048E584E"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i) deweloper nie zalega ze zobowiązaniami wobec nabywców, którzy w ramach danego przedsięwzięcia deweloperskiego lub zadania inwestycyjnego odstąpili od umowy na podstawie art. 43 ust. 1–6,</w:t>
            </w:r>
          </w:p>
          <w:p w14:paraId="63DE6746"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j) deweloper nie zalega wobec Deweloperskiego Funduszu Gwarancyjnego ze zobowiązaniem wynikającym z realizacji przez ten fundusz zwrotu wpłat nabywcy w sytuacji, o której mowa w art. 48 ust. 1 pkt 6;</w:t>
            </w:r>
          </w:p>
          <w:p w14:paraId="662CD872"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2) ustalenie przez wyznaczoną przez bank lub kasę osobę posiadającą odpowiednie uprawnienia budowlane, czy deweloper zakończył określony w harmonogramie etap realizacji przedsięwzięcia deweloperskiego lub zadania inwestycyjnego, polegające w szczególności na sprawdzeniu:</w:t>
            </w:r>
          </w:p>
          <w:p w14:paraId="61787C75"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a) wpisu kierownika budowy w dzienniku budowy,</w:t>
            </w:r>
          </w:p>
          <w:p w14:paraId="664B75AF"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b) udokumentowania faktycznego zaawansowania robót budowlanych na poziomie wymaganym dla kontrolowanego etapu,</w:t>
            </w:r>
          </w:p>
          <w:p w14:paraId="77EEAAF7"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lastRenderedPageBreak/>
              <w:t>c) uzyskania decyzji o pozwoleniu na użytkowanie albo dokonania zawiadomienia o zakończeniu budowy – w przypadku zakończenia robót budowlanych.</w:t>
            </w:r>
          </w:p>
          <w:p w14:paraId="1A21B141"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rPr>
            </w:pPr>
            <w:r w:rsidRPr="006D6F88">
              <w:rPr>
                <w:rFonts w:ascii="Times New Roman" w:eastAsia="Times New Roman" w:hAnsi="Times New Roman" w:cs="Times New Roman"/>
                <w:color w:val="00B050"/>
                <w:sz w:val="20"/>
                <w:szCs w:val="20"/>
              </w:rPr>
              <w:t>5. Czynności kontrolne, o których mowa w ust. 4 pkt 1 lit. d, f, g, i oraz j, są wykonywane na podstawie oświadczeń dewelopera.</w:t>
            </w:r>
          </w:p>
          <w:p w14:paraId="1999D745"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6. Przed dokonaniem wypłaty środków pieniężnych, o których mowa w art. 16 ust. 3, bank lub kasa przeprowadza czynności kontrolne, o których mowa w ust. 4 pkt 1 lit. a, b, d oraz f–j oraz pkt 2, oraz przeprowadza weryfikację posiadania przez dewelopera:</w:t>
            </w:r>
          </w:p>
          <w:p w14:paraId="3DE41E93"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1) decyzji o pozwoleniu na użytkowanie lub zawiadomienia o zakończeniu budowy, do którego organ nadzoru budowlanego nie wniósł sprzeciwu, oraz</w:t>
            </w:r>
          </w:p>
          <w:p w14:paraId="7375C331"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2) zaświadczenia o samodzielności lokalu – w przypadku umowy, o której mowa w art. 2 ust. 1 pkt 2 lub 3.</w:t>
            </w:r>
          </w:p>
          <w:p w14:paraId="07CE2E2F"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7. W przypadku:</w:t>
            </w:r>
          </w:p>
          <w:p w14:paraId="0BCE6C76"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1) negatywnej oceny jednego z elementów określonych w ust. 4 pkt 1 lit. a, c–e oraz h lub pkt 2,</w:t>
            </w:r>
          </w:p>
          <w:p w14:paraId="0923A4DE"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2) braku oświadczeń dewelopera, na podstawie których są wykonywane czynności kontrolne, o których mowa w ust. 4 pkt 1 lit. f, g, i oraz j,</w:t>
            </w:r>
          </w:p>
          <w:p w14:paraId="37787C64"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3) wszczęcia wobec dewelopera postępowania restrukturyzacyjnego albo upadłościowego, o którym mowa w ust. 4 pkt 1 lit. b</w:t>
            </w:r>
          </w:p>
          <w:p w14:paraId="2448D475"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 bank lub kasa wstrzymuje wypłatę środków pieniężnych, o których mowa w art. 16 ust. 1 lub 3, i wyznacza deweloperowi termin na usunięcie nieprawidłowości.</w:t>
            </w:r>
          </w:p>
          <w:p w14:paraId="190B54F6"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8. Bank lub kasa wypłaca deweloperowi środki pieniężne, o których mowa w art. 16 ust. 1 lub 3, wyłącznie po usunięciu nieprawidłowości, o których mowa w ust. 7.</w:t>
            </w:r>
          </w:p>
          <w:p w14:paraId="62C72DA4"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9. Bank lub kasa może dokonać kontroli zakończenia każdego z etapów przedsięwzięcia deweloperskiego lub zadania inwestycyjnego przed wypłatą środków pieniężnych, o których mowa w art. 16 ust. 1 lub 3, także w zakresie szerszym niż określony w ust. 4, jeżeli wynika to z umowy zawartej z deweloperem.</w:t>
            </w:r>
          </w:p>
          <w:p w14:paraId="0E2EE956"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 xml:space="preserve">Art. 18. </w:t>
            </w:r>
          </w:p>
          <w:p w14:paraId="38BA4C47"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rPr>
            </w:pPr>
            <w:r w:rsidRPr="006D6F88">
              <w:rPr>
                <w:rFonts w:ascii="Times New Roman" w:eastAsia="Times New Roman" w:hAnsi="Times New Roman" w:cs="Times New Roman"/>
                <w:color w:val="00B050"/>
                <w:sz w:val="20"/>
                <w:szCs w:val="20"/>
              </w:rPr>
              <w:t>1. W przypadku odstąpienia na podstawie art. 43 od umowy deweloperskiej albo umowy, o której mowa w art. 2 ust. 1 pkt 2, 3 lub 5, przez jedną ze stron, bank lub kasa wypłaca nabywcy przypadające mu środki pieniężne pozostałe na mieszkaniowym rachunku powierniczym w nominalnej wysokości niezwłocznie po otrzymaniu oświadczenia o odstąpieniu od jednej z tych umów.</w:t>
            </w:r>
          </w:p>
          <w:p w14:paraId="5E0D16EF"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2. Przepis ust. 1 stosuje się odpowiednio w przypadku odstąpienia od umowy deweloperskiej przez syndyka na podstawie art. 98 ustawy z dnia 28 lutego 2003 r. – Prawo upadłościowe (Dz. U. z 2020 r. poz. 1228 i 2320 oraz z 2021 r. poz. 1080 i 1177) lub przez zarządcę w trybie art. 298 ustawy z dnia 15 maja 2015 r. – Prawo restrukturyzacyjne (Dz. U. z 2020 r. poz. 814 i 1298 oraz z 2021 r. poz. 1080 i 1177).</w:t>
            </w:r>
          </w:p>
          <w:p w14:paraId="3735B22E"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 xml:space="preserve">Art. 19. </w:t>
            </w:r>
          </w:p>
          <w:p w14:paraId="22016302"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t>1. W przypadku rozwiązania umowy deweloperskiej albo umowy, o której mowa w art. 2 ust. 1 pkt 2, 3 lub 5, innego niż na podstawie art. 43, strony przedstawią zgodne oświadczenia woli o sposobie podziału środków pieniężnych zgromadzonych przez nabywcę na mieszkaniowym rachunku powierniczym.</w:t>
            </w:r>
          </w:p>
          <w:p w14:paraId="2A400477"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rPr>
            </w:pPr>
            <w:r w:rsidRPr="006D6F88">
              <w:rPr>
                <w:rFonts w:ascii="Times New Roman" w:eastAsia="Times New Roman" w:hAnsi="Times New Roman" w:cs="Times New Roman"/>
                <w:color w:val="00B050"/>
                <w:sz w:val="20"/>
                <w:szCs w:val="20"/>
              </w:rPr>
              <w:t>2. Bank lub kasa wypłaca środki zgromadzone na mieszkaniowym rachunku powierniczym w nominalnej wysokości niezwłocznie po otrzymaniu oświadczeń, o których mowa w ust. 1.</w:t>
            </w:r>
          </w:p>
          <w:p w14:paraId="74F820AB" w14:textId="77777777" w:rsidR="006D6F88" w:rsidRPr="006D6F88" w:rsidRDefault="006D6F88" w:rsidP="006D6F88">
            <w:pPr>
              <w:spacing w:before="144" w:after="144" w:line="240" w:lineRule="auto"/>
              <w:jc w:val="both"/>
              <w:rPr>
                <w:rFonts w:ascii="Times New Roman" w:eastAsia="Times New Roman" w:hAnsi="Times New Roman" w:cs="Times New Roman"/>
                <w:color w:val="00B050"/>
                <w:sz w:val="20"/>
                <w:szCs w:val="20"/>
                <w:lang w:val="en-US"/>
              </w:rPr>
            </w:pPr>
            <w:r w:rsidRPr="006D6F88">
              <w:rPr>
                <w:rFonts w:ascii="Times New Roman" w:eastAsia="Times New Roman" w:hAnsi="Times New Roman" w:cs="Times New Roman"/>
                <w:color w:val="00B050"/>
                <w:sz w:val="20"/>
                <w:szCs w:val="20"/>
              </w:rPr>
              <w:lastRenderedPageBreak/>
              <w:t>Koszt prowadzenia Mieszkaniowego Rachunku Powierniczego w całości obciąża Dewelopera.</w:t>
            </w:r>
          </w:p>
          <w:p w14:paraId="6E0A3F59" w14:textId="77777777" w:rsidR="001C6C85" w:rsidRPr="00D01837" w:rsidRDefault="001C6C85" w:rsidP="00AD5AC5">
            <w:pPr>
              <w:spacing w:before="144" w:after="144" w:line="240" w:lineRule="auto"/>
              <w:jc w:val="both"/>
              <w:rPr>
                <w:rFonts w:ascii="Times New Roman" w:eastAsia="Times New Roman" w:hAnsi="Times New Roman" w:cs="Times New Roman"/>
                <w:sz w:val="20"/>
                <w:szCs w:val="20"/>
              </w:rPr>
            </w:pPr>
          </w:p>
        </w:tc>
      </w:tr>
      <w:tr w:rsidR="00D01837" w:rsidRPr="00D01837" w14:paraId="312851F6" w14:textId="77777777">
        <w:trPr>
          <w:trHeight w:val="293"/>
        </w:trPr>
        <w:tc>
          <w:tcPr>
            <w:tcW w:w="2810" w:type="dxa"/>
            <w:shd w:val="clear" w:color="auto" w:fill="F3F3F3"/>
          </w:tcPr>
          <w:p w14:paraId="50BDB447" w14:textId="77777777" w:rsidR="00AD5AC5" w:rsidRPr="00D01837" w:rsidRDefault="00AD5AC5" w:rsidP="00AD5AC5">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lastRenderedPageBreak/>
              <w:t>Nazwa instytucji zapewniającej bezpieczeństwo środków nabywcy</w:t>
            </w:r>
          </w:p>
        </w:tc>
        <w:tc>
          <w:tcPr>
            <w:tcW w:w="6838" w:type="dxa"/>
            <w:gridSpan w:val="2"/>
            <w:shd w:val="clear" w:color="auto" w:fill="auto"/>
          </w:tcPr>
          <w:p w14:paraId="18B9F63D" w14:textId="77777777" w:rsidR="004F7ABE" w:rsidRPr="00F47B20" w:rsidRDefault="001341F6" w:rsidP="00AD5AC5">
            <w:pPr>
              <w:spacing w:before="144" w:after="144" w:line="240" w:lineRule="auto"/>
              <w:jc w:val="both"/>
              <w:rPr>
                <w:rFonts w:ascii="Times New Roman" w:eastAsia="Times New Roman" w:hAnsi="Times New Roman" w:cs="Times New Roman"/>
              </w:rPr>
            </w:pPr>
            <w:r w:rsidRPr="00F47B20">
              <w:rPr>
                <w:rFonts w:ascii="Times New Roman" w:eastAsia="Times New Roman" w:hAnsi="Times New Roman" w:cs="Times New Roman"/>
              </w:rPr>
              <w:t xml:space="preserve">Bank Spółdzielczy w Ostrowi Mazowieckiej Oddział w Zielonce, adres: 05-220 Zielonka, ul. </w:t>
            </w:r>
            <w:proofErr w:type="spellStart"/>
            <w:r w:rsidRPr="00F47B20">
              <w:rPr>
                <w:rFonts w:ascii="Times New Roman" w:eastAsia="Times New Roman" w:hAnsi="Times New Roman" w:cs="Times New Roman"/>
                <w:lang w:val="en-US"/>
              </w:rPr>
              <w:t>Kolejowa</w:t>
            </w:r>
            <w:proofErr w:type="spellEnd"/>
            <w:r w:rsidRPr="00F47B20">
              <w:rPr>
                <w:rFonts w:ascii="Times New Roman" w:eastAsia="Times New Roman" w:hAnsi="Times New Roman" w:cs="Times New Roman"/>
                <w:lang w:val="en-US"/>
              </w:rPr>
              <w:t xml:space="preserve"> 9</w:t>
            </w:r>
          </w:p>
        </w:tc>
      </w:tr>
      <w:tr w:rsidR="00D01837" w:rsidRPr="00D01837" w14:paraId="706B3AD3" w14:textId="77777777">
        <w:trPr>
          <w:trHeight w:val="488"/>
        </w:trPr>
        <w:tc>
          <w:tcPr>
            <w:tcW w:w="2810" w:type="dxa"/>
            <w:shd w:val="clear" w:color="auto" w:fill="F3F3F3"/>
          </w:tcPr>
          <w:p w14:paraId="72DD0F00"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Harmonogram przedsięwzięcia deweloperskiego lub zadania inwestycyjnego</w:t>
            </w:r>
          </w:p>
        </w:tc>
        <w:tc>
          <w:tcPr>
            <w:tcW w:w="6838" w:type="dxa"/>
            <w:gridSpan w:val="2"/>
            <w:shd w:val="clear" w:color="auto" w:fill="auto"/>
          </w:tcPr>
          <w:p w14:paraId="25955B87" w14:textId="77777777" w:rsidR="004877A2" w:rsidRDefault="004877A2" w:rsidP="00AD5AC5">
            <w:pPr>
              <w:rPr>
                <w:rFonts w:ascii="Times New Roman" w:hAnsi="Times New Roman" w:cs="Times New Roman"/>
              </w:rPr>
            </w:pPr>
            <w:r>
              <w:rPr>
                <w:rFonts w:ascii="Times New Roman" w:hAnsi="Times New Roman" w:cs="Times New Roman"/>
              </w:rPr>
              <w:t>Harmonogram budowy inwestycji w Kobyłce przy ulicy Mickiewicza</w:t>
            </w:r>
          </w:p>
          <w:p w14:paraId="6DE50C80" w14:textId="77777777" w:rsidR="00AD5AC5" w:rsidRPr="00F05F3B" w:rsidRDefault="00AD5AC5" w:rsidP="00AD5AC5">
            <w:pPr>
              <w:rPr>
                <w:rFonts w:ascii="Times New Roman" w:hAnsi="Times New Roman" w:cs="Times New Roman"/>
                <w:color w:val="FF0000"/>
              </w:rPr>
            </w:pPr>
            <w:r w:rsidRPr="00D01837">
              <w:rPr>
                <w:rFonts w:ascii="Times New Roman" w:hAnsi="Times New Roman" w:cs="Times New Roman"/>
              </w:rPr>
              <w:t>1</w:t>
            </w:r>
            <w:r w:rsidRPr="00F05F3B">
              <w:rPr>
                <w:rFonts w:ascii="Times New Roman" w:hAnsi="Times New Roman" w:cs="Times New Roman"/>
                <w:color w:val="FF0000"/>
              </w:rPr>
              <w:t xml:space="preserve">/ </w:t>
            </w:r>
            <w:r w:rsidRPr="00854A6D">
              <w:rPr>
                <w:rFonts w:ascii="Times New Roman" w:hAnsi="Times New Roman" w:cs="Times New Roman"/>
                <w:color w:val="00B050"/>
              </w:rPr>
              <w:t xml:space="preserve">zakup gruntu pod inwestycję, opracowanie dokumentacji budowlanej wraz z uzyskaniem pozwolenia na budowę oraz wykonanie prac ziemnych (wykopy pod fundamenty) – którego udział w całkowitych kosztach przedsięwzięcia </w:t>
            </w:r>
            <w:r w:rsidRPr="00592471">
              <w:rPr>
                <w:rFonts w:ascii="Times New Roman" w:hAnsi="Times New Roman" w:cs="Times New Roman"/>
                <w:color w:val="00B050"/>
              </w:rPr>
              <w:t>deweloperskiego szacowany jest na 25%, wykonanie planowane do dnia 3</w:t>
            </w:r>
            <w:r w:rsidR="00854A6D" w:rsidRPr="00592471">
              <w:rPr>
                <w:rFonts w:ascii="Times New Roman" w:hAnsi="Times New Roman" w:cs="Times New Roman"/>
                <w:color w:val="00B050"/>
              </w:rPr>
              <w:t>1</w:t>
            </w:r>
            <w:r w:rsidRPr="00592471">
              <w:rPr>
                <w:rFonts w:ascii="Times New Roman" w:hAnsi="Times New Roman" w:cs="Times New Roman"/>
                <w:color w:val="00B050"/>
              </w:rPr>
              <w:t>.0</w:t>
            </w:r>
            <w:r w:rsidR="00854A6D" w:rsidRPr="00592471">
              <w:rPr>
                <w:rFonts w:ascii="Times New Roman" w:hAnsi="Times New Roman" w:cs="Times New Roman"/>
                <w:color w:val="00B050"/>
              </w:rPr>
              <w:t>8</w:t>
            </w:r>
            <w:r w:rsidRPr="00592471">
              <w:rPr>
                <w:rFonts w:ascii="Times New Roman" w:hAnsi="Times New Roman" w:cs="Times New Roman"/>
                <w:color w:val="00B050"/>
              </w:rPr>
              <w:t>.202</w:t>
            </w:r>
            <w:r w:rsidR="00854A6D" w:rsidRPr="00592471">
              <w:rPr>
                <w:rFonts w:ascii="Times New Roman" w:hAnsi="Times New Roman" w:cs="Times New Roman"/>
                <w:color w:val="00B050"/>
              </w:rPr>
              <w:t>4</w:t>
            </w:r>
            <w:r w:rsidRPr="00592471">
              <w:rPr>
                <w:rFonts w:ascii="Times New Roman" w:hAnsi="Times New Roman" w:cs="Times New Roman"/>
                <w:color w:val="00B050"/>
              </w:rPr>
              <w:t xml:space="preserve"> roku,</w:t>
            </w:r>
          </w:p>
          <w:p w14:paraId="071D8F20" w14:textId="77777777" w:rsidR="00AD5AC5" w:rsidRPr="00854A6D" w:rsidRDefault="00AD5AC5" w:rsidP="00AD5AC5">
            <w:pPr>
              <w:rPr>
                <w:rFonts w:ascii="Times New Roman" w:hAnsi="Times New Roman" w:cs="Times New Roman"/>
                <w:color w:val="00B050"/>
              </w:rPr>
            </w:pPr>
            <w:r w:rsidRPr="00854A6D">
              <w:rPr>
                <w:rFonts w:ascii="Times New Roman" w:hAnsi="Times New Roman" w:cs="Times New Roman"/>
                <w:color w:val="00B050"/>
              </w:rPr>
              <w:t>2/</w:t>
            </w:r>
            <w:bookmarkStart w:id="0" w:name="_Hlk109205717"/>
            <w:r w:rsidRPr="00854A6D">
              <w:rPr>
                <w:rFonts w:ascii="Times New Roman" w:hAnsi="Times New Roman" w:cs="Times New Roman"/>
                <w:color w:val="00B050"/>
              </w:rPr>
              <w:t xml:space="preserve"> </w:t>
            </w:r>
            <w:r w:rsidR="00854A6D">
              <w:rPr>
                <w:rFonts w:ascii="Times New Roman" w:hAnsi="Times New Roman" w:cs="Times New Roman"/>
                <w:color w:val="00B050"/>
              </w:rPr>
              <w:t xml:space="preserve">wykonanie </w:t>
            </w:r>
            <w:r w:rsidRPr="00854A6D">
              <w:rPr>
                <w:rFonts w:ascii="Times New Roman" w:hAnsi="Times New Roman" w:cs="Times New Roman"/>
                <w:color w:val="00B050"/>
              </w:rPr>
              <w:t xml:space="preserve">ściany zewnętrzne, ściany nośne, stropy nad kondygnacją I </w:t>
            </w:r>
            <w:proofErr w:type="spellStart"/>
            <w:r w:rsidRPr="00854A6D">
              <w:rPr>
                <w:rFonts w:ascii="Times New Roman" w:hAnsi="Times New Roman" w:cs="Times New Roman"/>
                <w:color w:val="00B050"/>
              </w:rPr>
              <w:t>i</w:t>
            </w:r>
            <w:proofErr w:type="spellEnd"/>
            <w:r w:rsidRPr="00854A6D">
              <w:rPr>
                <w:rFonts w:ascii="Times New Roman" w:hAnsi="Times New Roman" w:cs="Times New Roman"/>
                <w:color w:val="00B050"/>
              </w:rPr>
              <w:t xml:space="preserve"> II</w:t>
            </w:r>
            <w:r w:rsidR="004F7ABE" w:rsidRPr="00854A6D">
              <w:rPr>
                <w:rFonts w:ascii="Times New Roman" w:hAnsi="Times New Roman" w:cs="Times New Roman"/>
                <w:color w:val="00B050"/>
              </w:rPr>
              <w:t xml:space="preserve"> wraz z </w:t>
            </w:r>
            <w:r w:rsidR="00854A6D" w:rsidRPr="00854A6D">
              <w:rPr>
                <w:rFonts w:ascii="Times New Roman" w:hAnsi="Times New Roman" w:cs="Times New Roman"/>
                <w:color w:val="00B050"/>
              </w:rPr>
              <w:t xml:space="preserve">konstrukcja </w:t>
            </w:r>
            <w:r w:rsidR="00592471" w:rsidRPr="00854A6D">
              <w:rPr>
                <w:rFonts w:ascii="Times New Roman" w:hAnsi="Times New Roman" w:cs="Times New Roman"/>
                <w:color w:val="00B050"/>
              </w:rPr>
              <w:t>drewnia</w:t>
            </w:r>
            <w:r w:rsidR="00B228DE">
              <w:rPr>
                <w:rFonts w:ascii="Times New Roman" w:hAnsi="Times New Roman" w:cs="Times New Roman"/>
                <w:color w:val="00B050"/>
              </w:rPr>
              <w:t>na</w:t>
            </w:r>
            <w:r w:rsidR="004F7ABE" w:rsidRPr="00854A6D">
              <w:rPr>
                <w:rFonts w:ascii="Times New Roman" w:hAnsi="Times New Roman" w:cs="Times New Roman"/>
                <w:color w:val="00B050"/>
              </w:rPr>
              <w:t xml:space="preserve"> </w:t>
            </w:r>
            <w:r w:rsidR="00854A6D" w:rsidRPr="00854A6D">
              <w:rPr>
                <w:rFonts w:ascii="Times New Roman" w:hAnsi="Times New Roman" w:cs="Times New Roman"/>
                <w:color w:val="00B050"/>
              </w:rPr>
              <w:t xml:space="preserve">dachu </w:t>
            </w:r>
            <w:r w:rsidR="00B228DE">
              <w:rPr>
                <w:rFonts w:ascii="Times New Roman" w:hAnsi="Times New Roman" w:cs="Times New Roman"/>
                <w:color w:val="00B050"/>
              </w:rPr>
              <w:t xml:space="preserve">(więźby dachowej) </w:t>
            </w:r>
            <w:r w:rsidRPr="00854A6D">
              <w:rPr>
                <w:rFonts w:ascii="Times New Roman" w:hAnsi="Times New Roman" w:cs="Times New Roman"/>
                <w:color w:val="00B050"/>
              </w:rPr>
              <w:t xml:space="preserve">– którego udział w całkowitych kosztach przedsięwzięcia deweloperskiego szacowany jest na 25%, </w:t>
            </w:r>
            <w:bookmarkStart w:id="1" w:name="_Hlk109206131"/>
            <w:r w:rsidRPr="00854A6D">
              <w:rPr>
                <w:rFonts w:ascii="Times New Roman" w:hAnsi="Times New Roman" w:cs="Times New Roman"/>
                <w:color w:val="00B050"/>
              </w:rPr>
              <w:t xml:space="preserve">wykonanie planowane do dnia </w:t>
            </w:r>
            <w:bookmarkEnd w:id="1"/>
            <w:r w:rsidRPr="00854A6D">
              <w:rPr>
                <w:rFonts w:ascii="Times New Roman" w:hAnsi="Times New Roman" w:cs="Times New Roman"/>
                <w:color w:val="00B050"/>
              </w:rPr>
              <w:t>30.</w:t>
            </w:r>
            <w:r w:rsidR="00854A6D" w:rsidRPr="00854A6D">
              <w:rPr>
                <w:rFonts w:ascii="Times New Roman" w:hAnsi="Times New Roman" w:cs="Times New Roman"/>
                <w:color w:val="00B050"/>
              </w:rPr>
              <w:t>11</w:t>
            </w:r>
            <w:r w:rsidRPr="00854A6D">
              <w:rPr>
                <w:rFonts w:ascii="Times New Roman" w:hAnsi="Times New Roman" w:cs="Times New Roman"/>
                <w:color w:val="00B050"/>
              </w:rPr>
              <w:t>.20</w:t>
            </w:r>
            <w:bookmarkEnd w:id="0"/>
            <w:r w:rsidR="00854A6D" w:rsidRPr="00854A6D">
              <w:rPr>
                <w:rFonts w:ascii="Times New Roman" w:hAnsi="Times New Roman" w:cs="Times New Roman"/>
                <w:color w:val="00B050"/>
              </w:rPr>
              <w:t>24</w:t>
            </w:r>
            <w:r w:rsidRPr="00854A6D">
              <w:rPr>
                <w:rFonts w:ascii="Times New Roman" w:hAnsi="Times New Roman" w:cs="Times New Roman"/>
                <w:color w:val="00B050"/>
              </w:rPr>
              <w:t xml:space="preserve"> roku,</w:t>
            </w:r>
          </w:p>
          <w:p w14:paraId="14088596" w14:textId="77777777" w:rsidR="00AD5AC5" w:rsidRPr="00592471" w:rsidRDefault="00AD5AC5" w:rsidP="00AD5AC5">
            <w:pPr>
              <w:rPr>
                <w:rFonts w:ascii="Times New Roman" w:hAnsi="Times New Roman" w:cs="Times New Roman"/>
                <w:color w:val="00B050"/>
              </w:rPr>
            </w:pPr>
            <w:r w:rsidRPr="00592471">
              <w:rPr>
                <w:rFonts w:ascii="Times New Roman" w:hAnsi="Times New Roman" w:cs="Times New Roman"/>
                <w:color w:val="00B050"/>
              </w:rPr>
              <w:t xml:space="preserve">3/ </w:t>
            </w:r>
            <w:bookmarkStart w:id="2" w:name="_Hlk109205774"/>
            <w:r w:rsidR="00854A6D" w:rsidRPr="00592471">
              <w:rPr>
                <w:rFonts w:ascii="Times New Roman" w:hAnsi="Times New Roman" w:cs="Times New Roman"/>
                <w:color w:val="00B050"/>
              </w:rPr>
              <w:t>montaż stolarki okiennej,</w:t>
            </w:r>
            <w:r w:rsidRPr="00592471">
              <w:rPr>
                <w:rFonts w:ascii="Times New Roman" w:hAnsi="Times New Roman" w:cs="Times New Roman"/>
                <w:color w:val="00B050"/>
              </w:rPr>
              <w:t xml:space="preserve"> instalacje elektryczne, instalacje sanitarne</w:t>
            </w:r>
            <w:r w:rsidR="00854A6D" w:rsidRPr="00592471">
              <w:rPr>
                <w:rFonts w:ascii="Times New Roman" w:hAnsi="Times New Roman" w:cs="Times New Roman"/>
                <w:color w:val="00B050"/>
              </w:rPr>
              <w:t>, pokrycie dachu</w:t>
            </w:r>
            <w:r w:rsidRPr="00592471">
              <w:rPr>
                <w:rFonts w:ascii="Times New Roman" w:hAnsi="Times New Roman" w:cs="Times New Roman"/>
                <w:color w:val="00B050"/>
              </w:rPr>
              <w:t xml:space="preserve"> – którego udział w całkowitych kosztach przedsięwzięcia deweloperskiego szacowany jest na 25%, wykonanie planowane do dnia 3</w:t>
            </w:r>
            <w:r w:rsidR="00592471" w:rsidRPr="00592471">
              <w:rPr>
                <w:rFonts w:ascii="Times New Roman" w:hAnsi="Times New Roman" w:cs="Times New Roman"/>
                <w:color w:val="00B050"/>
              </w:rPr>
              <w:t>0</w:t>
            </w:r>
            <w:r w:rsidRPr="00592471">
              <w:rPr>
                <w:rFonts w:ascii="Times New Roman" w:hAnsi="Times New Roman" w:cs="Times New Roman"/>
                <w:color w:val="00B050"/>
              </w:rPr>
              <w:t>.</w:t>
            </w:r>
            <w:r w:rsidR="004F7ABE" w:rsidRPr="00592471">
              <w:rPr>
                <w:rFonts w:ascii="Times New Roman" w:hAnsi="Times New Roman" w:cs="Times New Roman"/>
                <w:color w:val="00B050"/>
              </w:rPr>
              <w:t>0</w:t>
            </w:r>
            <w:r w:rsidR="00592471" w:rsidRPr="00592471">
              <w:rPr>
                <w:rFonts w:ascii="Times New Roman" w:hAnsi="Times New Roman" w:cs="Times New Roman"/>
                <w:color w:val="00B050"/>
              </w:rPr>
              <w:t>6</w:t>
            </w:r>
            <w:r w:rsidRPr="00592471">
              <w:rPr>
                <w:rFonts w:ascii="Times New Roman" w:hAnsi="Times New Roman" w:cs="Times New Roman"/>
                <w:color w:val="00B050"/>
              </w:rPr>
              <w:t>.20</w:t>
            </w:r>
            <w:bookmarkEnd w:id="2"/>
            <w:r w:rsidR="00854A6D" w:rsidRPr="00592471">
              <w:rPr>
                <w:rFonts w:ascii="Times New Roman" w:hAnsi="Times New Roman" w:cs="Times New Roman"/>
                <w:color w:val="00B050"/>
              </w:rPr>
              <w:t>25</w:t>
            </w:r>
            <w:r w:rsidRPr="00592471">
              <w:rPr>
                <w:rFonts w:ascii="Times New Roman" w:hAnsi="Times New Roman" w:cs="Times New Roman"/>
                <w:color w:val="00B050"/>
              </w:rPr>
              <w:t xml:space="preserve"> roku,</w:t>
            </w:r>
          </w:p>
          <w:p w14:paraId="25F97F7F" w14:textId="77777777" w:rsidR="00AD5AC5" w:rsidRPr="00592471" w:rsidRDefault="00AD5AC5" w:rsidP="00AD5AC5">
            <w:pPr>
              <w:rPr>
                <w:rFonts w:ascii="Times New Roman" w:hAnsi="Times New Roman" w:cs="Times New Roman"/>
                <w:color w:val="00B050"/>
              </w:rPr>
            </w:pPr>
            <w:r w:rsidRPr="00592471">
              <w:rPr>
                <w:rFonts w:ascii="Times New Roman" w:hAnsi="Times New Roman" w:cs="Times New Roman"/>
                <w:color w:val="00B050"/>
              </w:rPr>
              <w:t xml:space="preserve">4/ </w:t>
            </w:r>
            <w:bookmarkStart w:id="3" w:name="_Hlk109206216"/>
            <w:r w:rsidRPr="00592471">
              <w:rPr>
                <w:rFonts w:ascii="Times New Roman" w:hAnsi="Times New Roman" w:cs="Times New Roman"/>
                <w:color w:val="00B050"/>
              </w:rPr>
              <w:t>roboty wykończeniowe, tynki wewnętrzne, posadzki</w:t>
            </w:r>
            <w:r w:rsidR="00854A6D" w:rsidRPr="00592471">
              <w:rPr>
                <w:rFonts w:ascii="Times New Roman" w:hAnsi="Times New Roman" w:cs="Times New Roman"/>
                <w:color w:val="00B050"/>
              </w:rPr>
              <w:t>,</w:t>
            </w:r>
            <w:r w:rsidRPr="00592471">
              <w:rPr>
                <w:rFonts w:ascii="Times New Roman" w:hAnsi="Times New Roman" w:cs="Times New Roman"/>
                <w:color w:val="00B050"/>
              </w:rPr>
              <w:t xml:space="preserve"> </w:t>
            </w:r>
            <w:r w:rsidR="00854A6D" w:rsidRPr="00592471">
              <w:rPr>
                <w:rFonts w:ascii="Times New Roman" w:hAnsi="Times New Roman" w:cs="Times New Roman"/>
                <w:color w:val="00B050"/>
              </w:rPr>
              <w:t xml:space="preserve">montaż stolarki drzwiowej </w:t>
            </w:r>
            <w:r w:rsidRPr="00592471">
              <w:rPr>
                <w:rFonts w:ascii="Times New Roman" w:hAnsi="Times New Roman" w:cs="Times New Roman"/>
                <w:color w:val="00B050"/>
              </w:rPr>
              <w:t>- którego udział w całkowitych kosztach przedsięwzięcia deweloperskiego szacowany jest na 15%, wykonanie planowane do dnia 30.0</w:t>
            </w:r>
            <w:r w:rsidR="00592471" w:rsidRPr="00592471">
              <w:rPr>
                <w:rFonts w:ascii="Times New Roman" w:hAnsi="Times New Roman" w:cs="Times New Roman"/>
                <w:color w:val="00B050"/>
              </w:rPr>
              <w:t>9</w:t>
            </w:r>
            <w:r w:rsidRPr="00592471">
              <w:rPr>
                <w:rFonts w:ascii="Times New Roman" w:hAnsi="Times New Roman" w:cs="Times New Roman"/>
                <w:color w:val="00B050"/>
              </w:rPr>
              <w:t>.202</w:t>
            </w:r>
            <w:bookmarkEnd w:id="3"/>
            <w:r w:rsidR="00592471" w:rsidRPr="00592471">
              <w:rPr>
                <w:rFonts w:ascii="Times New Roman" w:hAnsi="Times New Roman" w:cs="Times New Roman"/>
                <w:color w:val="00B050"/>
              </w:rPr>
              <w:t>5</w:t>
            </w:r>
            <w:r w:rsidRPr="00592471">
              <w:rPr>
                <w:rFonts w:ascii="Times New Roman" w:hAnsi="Times New Roman" w:cs="Times New Roman"/>
                <w:color w:val="00B050"/>
              </w:rPr>
              <w:t xml:space="preserve"> roku,</w:t>
            </w:r>
          </w:p>
          <w:p w14:paraId="6F9CE0DC" w14:textId="77777777" w:rsidR="00AD5AC5" w:rsidRPr="00592471" w:rsidRDefault="00AD5AC5" w:rsidP="00592471">
            <w:pPr>
              <w:rPr>
                <w:rFonts w:ascii="Times New Roman" w:eastAsia="Times New Roman" w:hAnsi="Times New Roman" w:cs="Times New Roman"/>
                <w:color w:val="00B050"/>
                <w:sz w:val="20"/>
                <w:szCs w:val="20"/>
              </w:rPr>
            </w:pPr>
            <w:r w:rsidRPr="00592471">
              <w:rPr>
                <w:rFonts w:ascii="Times New Roman" w:hAnsi="Times New Roman" w:cs="Times New Roman"/>
                <w:color w:val="00B050"/>
              </w:rPr>
              <w:t xml:space="preserve">5/ </w:t>
            </w:r>
            <w:bookmarkStart w:id="4" w:name="_Hlk109206273"/>
            <w:r w:rsidRPr="00592471">
              <w:rPr>
                <w:rFonts w:ascii="Times New Roman" w:hAnsi="Times New Roman" w:cs="Times New Roman"/>
                <w:color w:val="00B050"/>
              </w:rPr>
              <w:t xml:space="preserve">wykonanie zagospodarowania terenu, </w:t>
            </w:r>
            <w:r w:rsidR="001341F6" w:rsidRPr="00592471">
              <w:rPr>
                <w:rFonts w:ascii="Times New Roman" w:hAnsi="Times New Roman" w:cs="Times New Roman"/>
                <w:color w:val="00B050"/>
              </w:rPr>
              <w:t xml:space="preserve">elewacje zewnętrzne, obróbki blacharskie, </w:t>
            </w:r>
            <w:r w:rsidRPr="00592471">
              <w:rPr>
                <w:rFonts w:ascii="Times New Roman" w:hAnsi="Times New Roman" w:cs="Times New Roman"/>
                <w:color w:val="00B050"/>
              </w:rPr>
              <w:t>ślusarka zewnętrzna</w:t>
            </w:r>
            <w:r w:rsidR="001341F6" w:rsidRPr="00592471">
              <w:rPr>
                <w:rFonts w:ascii="Times New Roman" w:hAnsi="Times New Roman" w:cs="Times New Roman"/>
                <w:color w:val="00B050"/>
              </w:rPr>
              <w:t xml:space="preserve"> (balustrady)</w:t>
            </w:r>
            <w:r w:rsidRPr="00592471">
              <w:rPr>
                <w:rFonts w:ascii="Times New Roman" w:hAnsi="Times New Roman" w:cs="Times New Roman"/>
                <w:color w:val="00B050"/>
              </w:rPr>
              <w:t>, montaż pieca CO, przyłącza: kanalizacji, wodociągowe, elektryczne, gazowe wraz z uzyskaniem pozwolenia na użytkowanie – którego udział w całkowitych kosztach przedsięwzięcia deweloperskiego szacowany jest na 10% wykonanie planowane do dnia 3</w:t>
            </w:r>
            <w:r w:rsidR="00592471" w:rsidRPr="00592471">
              <w:rPr>
                <w:rFonts w:ascii="Times New Roman" w:hAnsi="Times New Roman" w:cs="Times New Roman"/>
                <w:color w:val="00B050"/>
              </w:rPr>
              <w:t>1</w:t>
            </w:r>
            <w:r w:rsidRPr="00592471">
              <w:rPr>
                <w:rFonts w:ascii="Times New Roman" w:hAnsi="Times New Roman" w:cs="Times New Roman"/>
                <w:color w:val="00B050"/>
              </w:rPr>
              <w:t>.0</w:t>
            </w:r>
            <w:r w:rsidR="00592471" w:rsidRPr="00592471">
              <w:rPr>
                <w:rFonts w:ascii="Times New Roman" w:hAnsi="Times New Roman" w:cs="Times New Roman"/>
                <w:color w:val="00B050"/>
              </w:rPr>
              <w:t>3</w:t>
            </w:r>
            <w:r w:rsidRPr="00592471">
              <w:rPr>
                <w:rFonts w:ascii="Times New Roman" w:hAnsi="Times New Roman" w:cs="Times New Roman"/>
                <w:color w:val="00B050"/>
              </w:rPr>
              <w:t>.202</w:t>
            </w:r>
            <w:bookmarkEnd w:id="4"/>
            <w:r w:rsidR="00592471" w:rsidRPr="00592471">
              <w:rPr>
                <w:rFonts w:ascii="Times New Roman" w:hAnsi="Times New Roman" w:cs="Times New Roman"/>
                <w:color w:val="00B050"/>
              </w:rPr>
              <w:t>6</w:t>
            </w:r>
            <w:r w:rsidRPr="00592471">
              <w:rPr>
                <w:rFonts w:ascii="Times New Roman" w:hAnsi="Times New Roman" w:cs="Times New Roman"/>
                <w:color w:val="00B050"/>
              </w:rPr>
              <w:t xml:space="preserve"> roku.</w:t>
            </w:r>
          </w:p>
        </w:tc>
      </w:tr>
      <w:tr w:rsidR="00D01837" w:rsidRPr="00D01837" w14:paraId="6082E2FC" w14:textId="77777777">
        <w:trPr>
          <w:trHeight w:val="292"/>
        </w:trPr>
        <w:tc>
          <w:tcPr>
            <w:tcW w:w="2810" w:type="dxa"/>
            <w:shd w:val="clear" w:color="auto" w:fill="F3F3F3"/>
          </w:tcPr>
          <w:p w14:paraId="5CBCA7DD" w14:textId="77777777" w:rsidR="00AD5AC5" w:rsidRPr="00D01837" w:rsidRDefault="00AD5AC5" w:rsidP="00AD5AC5">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Dopuszczenie waloryzacji ceny oraz określenie zasad waloryzacji</w:t>
            </w:r>
          </w:p>
        </w:tc>
        <w:tc>
          <w:tcPr>
            <w:tcW w:w="6838" w:type="dxa"/>
            <w:gridSpan w:val="2"/>
            <w:shd w:val="clear" w:color="auto" w:fill="auto"/>
          </w:tcPr>
          <w:p w14:paraId="4C80A2D3" w14:textId="77777777" w:rsidR="00AD5AC5" w:rsidRPr="00D01837" w:rsidRDefault="00AD5AC5" w:rsidP="00AD5AC5">
            <w:pPr>
              <w:rPr>
                <w:rFonts w:ascii="Times New Roman" w:hAnsi="Times New Roman" w:cs="Times New Roman"/>
              </w:rPr>
            </w:pPr>
            <w:r w:rsidRPr="00D01837">
              <w:rPr>
                <w:rFonts w:ascii="Times New Roman" w:hAnsi="Times New Roman" w:cs="Times New Roman"/>
              </w:rPr>
              <w:t>1/ Cena nie podlega waloryzacji o wskaźnik inflacji</w:t>
            </w:r>
            <w:r w:rsidR="008D27B3" w:rsidRPr="00D01837">
              <w:rPr>
                <w:rFonts w:ascii="Times New Roman" w:hAnsi="Times New Roman" w:cs="Times New Roman"/>
              </w:rPr>
              <w:t>.</w:t>
            </w:r>
          </w:p>
          <w:p w14:paraId="7DF354D0" w14:textId="77777777" w:rsidR="00AD5AC5" w:rsidRPr="00D01837" w:rsidRDefault="00AD5AC5" w:rsidP="00AD5AC5">
            <w:pPr>
              <w:rPr>
                <w:rFonts w:ascii="Times New Roman" w:hAnsi="Times New Roman" w:cs="Times New Roman"/>
              </w:rPr>
            </w:pPr>
            <w:r w:rsidRPr="00D01837">
              <w:rPr>
                <w:rFonts w:ascii="Times New Roman" w:hAnsi="Times New Roman" w:cs="Times New Roman"/>
              </w:rPr>
              <w:t xml:space="preserve">2/ Cena całkowita lokalu określona w umowie może ulec zmianie (zmniejszeniu lub zwiększeniu) w zakresie proporcjonalnym do zmiany stawek podatku VAT.  </w:t>
            </w:r>
          </w:p>
          <w:p w14:paraId="7B09996F" w14:textId="77777777" w:rsidR="00AD5AC5" w:rsidRPr="00D01837" w:rsidRDefault="00AD5AC5" w:rsidP="00AD5AC5">
            <w:pPr>
              <w:rPr>
                <w:rFonts w:ascii="Times New Roman" w:hAnsi="Times New Roman" w:cs="Times New Roman"/>
              </w:rPr>
            </w:pPr>
            <w:r w:rsidRPr="00D01837">
              <w:rPr>
                <w:rFonts w:ascii="Times New Roman" w:hAnsi="Times New Roman" w:cs="Times New Roman"/>
              </w:rPr>
              <w:t xml:space="preserve">W przypadku podwyższenia stawki podatku VAT powyżej 8% (osiem procent) mającej wpływ na wysokość ceny Lokalu, Nabywca będzie uprawniony do odstąpienia od niniejszej umowy w terminie 30 </w:t>
            </w:r>
            <w:r w:rsidRPr="00D01837">
              <w:rPr>
                <w:rFonts w:ascii="Times New Roman" w:hAnsi="Times New Roman" w:cs="Times New Roman"/>
              </w:rPr>
              <w:lastRenderedPageBreak/>
              <w:t>(trzydziestu) dni licząc od dnia otrzymania od Dewelopera zawiadomienia o dokonaniu zmiany z powyższej przyczyny Ceny za Lokal.</w:t>
            </w:r>
          </w:p>
          <w:p w14:paraId="3A502A7D" w14:textId="77777777" w:rsidR="00AD5AC5" w:rsidRPr="00D01837" w:rsidRDefault="00AD5AC5" w:rsidP="00AD5AC5">
            <w:pPr>
              <w:rPr>
                <w:rFonts w:ascii="Times New Roman" w:hAnsi="Times New Roman" w:cs="Times New Roman"/>
              </w:rPr>
            </w:pPr>
            <w:r w:rsidRPr="00D01837">
              <w:rPr>
                <w:rFonts w:ascii="Times New Roman" w:hAnsi="Times New Roman" w:cs="Times New Roman"/>
              </w:rPr>
              <w:t>W przypadku zmiany (zmniejszenia lub zwiększenia) Ceny całkowitej określonej w umowie, wynikającej ze zmiany stawek podatku VAT i nieskorzystania przez Nabywcę z prawa odstąpienia od umowy, Deweloper doręczy Nabywcy nowy harmonogram płatności, uwzględniający zmianę stawki podatku od towarów i usług (VAT).</w:t>
            </w:r>
          </w:p>
          <w:p w14:paraId="307ADE4B" w14:textId="77777777" w:rsidR="00AD5AC5" w:rsidRPr="00D01837" w:rsidRDefault="00AD5AC5" w:rsidP="00AD5AC5">
            <w:pPr>
              <w:rPr>
                <w:rFonts w:ascii="Times New Roman" w:hAnsi="Times New Roman" w:cs="Times New Roman"/>
              </w:rPr>
            </w:pPr>
            <w:r w:rsidRPr="00D01837">
              <w:rPr>
                <w:rFonts w:ascii="Times New Roman" w:hAnsi="Times New Roman" w:cs="Times New Roman"/>
              </w:rPr>
              <w:t>3/ W przypadku wystąpienia różnicy w powierzchni użytkowej Lokalu (lokalu mieszkalnego wraz z pomieszczeniem przynależnym) – plus/minus 1% (jeden procent) – między powierzchnią wskazaną w umowie, wynikającą z dokumentacji projektowej, a powierzchnią wynikającą z inwentaryzacji powykonawczej, nie będzie ona uwzględniona przez strony w końcowym rozliczeniu łącznej Ceny za Lokal.</w:t>
            </w:r>
          </w:p>
          <w:p w14:paraId="74AEB7C3" w14:textId="77777777" w:rsidR="00AD5AC5" w:rsidRPr="00D01837" w:rsidRDefault="00AD5AC5" w:rsidP="00AD5AC5">
            <w:pPr>
              <w:rPr>
                <w:rFonts w:ascii="Times New Roman" w:hAnsi="Times New Roman" w:cs="Times New Roman"/>
              </w:rPr>
            </w:pPr>
            <w:r w:rsidRPr="00D01837">
              <w:rPr>
                <w:rFonts w:ascii="Times New Roman" w:hAnsi="Times New Roman" w:cs="Times New Roman"/>
              </w:rPr>
              <w:t xml:space="preserve"> W przypadku wystąpienia różnicy w powierzchni użytkowej Lokalu (lokalu mieszkalnego wraz z pomieszczeniem przynależnym) – większej niż plus/minus 1% (jeden procent) – między powierzchnią wskazaną w umowie, wynikającą z dokumentacji projektowej, a powierzchnią wynikającą z inwentaryzacji powykonawczej, Nabywca będzie uprawniony do odstąpienia od niniejszej umowy w terminie 30 dni od </w:t>
            </w:r>
            <w:proofErr w:type="gramStart"/>
            <w:r w:rsidRPr="00D01837">
              <w:rPr>
                <w:rFonts w:ascii="Times New Roman" w:hAnsi="Times New Roman" w:cs="Times New Roman"/>
              </w:rPr>
              <w:t>dnia</w:t>
            </w:r>
            <w:proofErr w:type="gramEnd"/>
            <w:r w:rsidRPr="00D01837">
              <w:rPr>
                <w:rFonts w:ascii="Times New Roman" w:hAnsi="Times New Roman" w:cs="Times New Roman"/>
              </w:rPr>
              <w:t xml:space="preserve"> w którym Deweloper poinformował Nabywcę o powierzchni Lokalu wynikającej z inwentaryzacji powykonawczej.</w:t>
            </w:r>
          </w:p>
          <w:p w14:paraId="6DCCAFD8"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hAnsi="Times New Roman" w:cs="Times New Roman"/>
              </w:rPr>
              <w:t>W przypadku gdy różnica pomiędzy projektowaną powierzchnią użytkową Lokalu (lokalu mieszkalnego wraz z pomieszczeniem przynależnym) a powierzchnią użytkową wynikającą z inwentaryzacji powykonawczej (powierzchnią rzeczywistą) będzie większa niż plus/minus. 1% (jeden procent) i Nabywca nie skorzysta z powyższego uprawnienia do odstąpienia od niniejszej umowy, to: w przypadku zmniejszenia powierzchni użytkowej Lokalu (lokalu mieszkalnego wraz z pomieszczeniem przynależnym), łączna Cena za Lokal  ulegnie odpowiedniemu zmniejszeniu o kwotę wynikającą z przemnożenia liczby metrów kwadratowych, o które odpowiednio zmniejszyła się powierzchnia użytkowa przez stawkę brutto w kwocie ( podanej w części indywidualnej prospektu) złotych za jeden metr kwadratowy powierzchni użytkowej Lokalu (lokalu mieszkalnego wraz z pomieszczeniem przynależnym), a w przypadku zwiększenia powierzchni użytkowej łączna Cena za Lokal nie ulegnie zmianie.</w:t>
            </w:r>
          </w:p>
        </w:tc>
      </w:tr>
      <w:tr w:rsidR="00D01837" w:rsidRPr="00D01837" w14:paraId="067E163A" w14:textId="77777777">
        <w:tc>
          <w:tcPr>
            <w:tcW w:w="9648" w:type="dxa"/>
            <w:gridSpan w:val="3"/>
            <w:tcBorders>
              <w:bottom w:val="single" w:sz="4" w:space="0" w:color="000000"/>
            </w:tcBorders>
            <w:shd w:val="clear" w:color="auto" w:fill="E0E0E0"/>
          </w:tcPr>
          <w:p w14:paraId="184ABE95" w14:textId="77777777" w:rsidR="00AD5AC5" w:rsidRPr="00555B2A" w:rsidRDefault="00AD5AC5" w:rsidP="001A1D13">
            <w:pPr>
              <w:spacing w:before="144" w:after="144" w:line="240" w:lineRule="auto"/>
              <w:jc w:val="both"/>
              <w:rPr>
                <w:rFonts w:ascii="Times New Roman" w:eastAsia="Times New Roman" w:hAnsi="Times New Roman" w:cs="Times New Roman"/>
                <w:b/>
                <w:sz w:val="20"/>
                <w:szCs w:val="20"/>
              </w:rPr>
            </w:pPr>
            <w:r w:rsidRPr="00555B2A">
              <w:rPr>
                <w:rFonts w:ascii="Times New Roman" w:eastAsia="Times New Roman" w:hAnsi="Times New Roman" w:cs="Times New Roman"/>
                <w:b/>
                <w:sz w:val="20"/>
                <w:szCs w:val="20"/>
              </w:rPr>
              <w:lastRenderedPageBreak/>
              <w:t xml:space="preserve">WARUNKI ODSTĄPIENIA OD UMOWY DEWELOPERSKIEJ LUB UMOWY, O KTÓREJ MOWA W ART. 2 UST. 1 PKT 2, 3 LUB 5 USTAWY Z DNIA </w:t>
            </w:r>
            <w:r w:rsidR="00F47B20" w:rsidRPr="00555B2A">
              <w:rPr>
                <w:rFonts w:ascii="Times New Roman" w:eastAsia="Times New Roman" w:hAnsi="Times New Roman" w:cs="Times New Roman"/>
                <w:b/>
                <w:sz w:val="20"/>
                <w:szCs w:val="20"/>
              </w:rPr>
              <w:t>20 MAJA 2021 R.</w:t>
            </w:r>
            <w:r w:rsidRPr="00555B2A">
              <w:rPr>
                <w:rFonts w:ascii="Times New Roman" w:eastAsia="Times New Roman" w:hAnsi="Times New Roman" w:cs="Times New Roman"/>
                <w:b/>
                <w:sz w:val="20"/>
                <w:szCs w:val="20"/>
              </w:rPr>
              <w:t xml:space="preserve"> OCHRONIE PRAW NABYWCY LOKALU MIESZKALNEGO LUB DOMU JEDNORODZINNEGO ORAZ O DEWELOPERSKIM FUNDUSZU GWARANCYJNYM </w:t>
            </w:r>
          </w:p>
        </w:tc>
      </w:tr>
      <w:tr w:rsidR="00D01837" w:rsidRPr="00D01837" w14:paraId="076FB938" w14:textId="77777777">
        <w:trPr>
          <w:trHeight w:val="1512"/>
        </w:trPr>
        <w:tc>
          <w:tcPr>
            <w:tcW w:w="2810" w:type="dxa"/>
            <w:tcBorders>
              <w:bottom w:val="single" w:sz="4" w:space="0" w:color="000000"/>
            </w:tcBorders>
            <w:shd w:val="clear" w:color="auto" w:fill="F3F3F3"/>
          </w:tcPr>
          <w:p w14:paraId="2E27561C"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Należy opisać, na jakich warunkach można odstąpić od umowy deweloperskiej lub jednej z umów, o których mowa w art. 2 ust. 1 pkt 2, 3 lub 5 ustawy z dnia … o ochronie praw nabywcy lokalu mieszkalnego lub domu jednorodzinnego oraz o </w:t>
            </w:r>
            <w:r w:rsidRPr="00D01837">
              <w:rPr>
                <w:rFonts w:ascii="Times New Roman" w:eastAsia="Times New Roman" w:hAnsi="Times New Roman" w:cs="Times New Roman"/>
                <w:sz w:val="20"/>
                <w:szCs w:val="20"/>
              </w:rPr>
              <w:lastRenderedPageBreak/>
              <w:t>Deweloperskim Funduszu Gwarancyjnym</w:t>
            </w:r>
          </w:p>
        </w:tc>
        <w:tc>
          <w:tcPr>
            <w:tcW w:w="6838" w:type="dxa"/>
            <w:gridSpan w:val="2"/>
          </w:tcPr>
          <w:p w14:paraId="361F3C00"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lastRenderedPageBreak/>
              <w:t>I. Nabywca ma prawo odstąpić od umowy w trybie art. 43 ustawy z dnia z dnia 20 maja 2021 roku o ochronie praw nabywcy lokalu mieszkalnego lub domu jednorodzinnego oraz Deweloperskim Funduszu Gwarancyjnym (Dz.U. z 2021 r. poz.1177) [Ustawa Deweloperska], to jest:</w:t>
            </w:r>
          </w:p>
          <w:p w14:paraId="674D9EF2"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proofErr w:type="gramStart"/>
            <w:r w:rsidRPr="00D01837">
              <w:rPr>
                <w:rFonts w:ascii="Times New Roman" w:eastAsia="Times New Roman" w:hAnsi="Times New Roman" w:cs="Times New Roman"/>
                <w:sz w:val="20"/>
                <w:szCs w:val="20"/>
              </w:rPr>
              <w:t>1)</w:t>
            </w:r>
            <w:proofErr w:type="gramEnd"/>
            <w:r w:rsidRPr="00D01837">
              <w:rPr>
                <w:rFonts w:ascii="Times New Roman" w:eastAsia="Times New Roman" w:hAnsi="Times New Roman" w:cs="Times New Roman"/>
                <w:sz w:val="20"/>
                <w:szCs w:val="20"/>
              </w:rPr>
              <w:t xml:space="preserve"> jeżeli umowa deweloperska nie zawiera elementów, o których mowa w art. 35 cytowanej wyżej ustawy, </w:t>
            </w:r>
          </w:p>
          <w:p w14:paraId="27D786AD"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proofErr w:type="gramStart"/>
            <w:r w:rsidRPr="00D01837">
              <w:rPr>
                <w:rFonts w:ascii="Times New Roman" w:eastAsia="Times New Roman" w:hAnsi="Times New Roman" w:cs="Times New Roman"/>
                <w:sz w:val="20"/>
                <w:szCs w:val="20"/>
              </w:rPr>
              <w:t>2)</w:t>
            </w:r>
            <w:proofErr w:type="gramEnd"/>
            <w:r w:rsidRPr="00D01837">
              <w:rPr>
                <w:rFonts w:ascii="Times New Roman" w:eastAsia="Times New Roman" w:hAnsi="Times New Roman" w:cs="Times New Roman"/>
                <w:sz w:val="20"/>
                <w:szCs w:val="20"/>
              </w:rPr>
              <w:t xml:space="preserve"> jeżeli informacje zawarte w umowie deweloperskiej nie są zgodne z informacjami zawartymi w prospekcie informacyjnym lub jego załącznikach, z wyjątkiem zmian, o których mowa w art. 35 ust. 2 cytowanej wyżej ustawy;</w:t>
            </w:r>
          </w:p>
          <w:p w14:paraId="12566FBF"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proofErr w:type="gramStart"/>
            <w:r w:rsidRPr="00D01837">
              <w:rPr>
                <w:rFonts w:ascii="Times New Roman" w:eastAsia="Times New Roman" w:hAnsi="Times New Roman" w:cs="Times New Roman"/>
                <w:sz w:val="20"/>
                <w:szCs w:val="20"/>
              </w:rPr>
              <w:lastRenderedPageBreak/>
              <w:t>3)</w:t>
            </w:r>
            <w:proofErr w:type="gramEnd"/>
            <w:r w:rsidRPr="00D01837">
              <w:rPr>
                <w:rFonts w:ascii="Times New Roman" w:eastAsia="Times New Roman" w:hAnsi="Times New Roman" w:cs="Times New Roman"/>
                <w:sz w:val="20"/>
                <w:szCs w:val="20"/>
              </w:rPr>
              <w:t xml:space="preserve"> jeżeli Deweloper nie doręczył zgodnie z art. 21 lub art. 22 powołanej ustawy prospektu informacyjnego wraz z załącznikami lub informacji o zmianie danych lub informacji zawartych w prospekcie informacyjnym lub jego załącznikach;</w:t>
            </w:r>
          </w:p>
          <w:p w14:paraId="19099E26"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proofErr w:type="gramStart"/>
            <w:r w:rsidRPr="00D01837">
              <w:rPr>
                <w:rFonts w:ascii="Times New Roman" w:eastAsia="Times New Roman" w:hAnsi="Times New Roman" w:cs="Times New Roman"/>
                <w:sz w:val="20"/>
                <w:szCs w:val="20"/>
              </w:rPr>
              <w:t>4)</w:t>
            </w:r>
            <w:proofErr w:type="gramEnd"/>
            <w:r w:rsidRPr="00D01837">
              <w:rPr>
                <w:rFonts w:ascii="Times New Roman" w:eastAsia="Times New Roman" w:hAnsi="Times New Roman" w:cs="Times New Roman"/>
                <w:sz w:val="20"/>
                <w:szCs w:val="20"/>
              </w:rPr>
              <w:t xml:space="preserve"> jeżeli dane lub informacje zawarte w prospekcie informacyjnym lub jego załącznikach, na podstawie których zawarto umowę deweloperską są niezgodne ze stanem faktycznym lub prawnym w dniu zawarcia umowy;</w:t>
            </w:r>
          </w:p>
          <w:p w14:paraId="2104CE48"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proofErr w:type="gramStart"/>
            <w:r w:rsidRPr="00D01837">
              <w:rPr>
                <w:rFonts w:ascii="Times New Roman" w:eastAsia="Times New Roman" w:hAnsi="Times New Roman" w:cs="Times New Roman"/>
                <w:sz w:val="20"/>
                <w:szCs w:val="20"/>
              </w:rPr>
              <w:t>5)</w:t>
            </w:r>
            <w:proofErr w:type="gramEnd"/>
            <w:r w:rsidRPr="00D01837">
              <w:rPr>
                <w:rFonts w:ascii="Times New Roman" w:eastAsia="Times New Roman" w:hAnsi="Times New Roman" w:cs="Times New Roman"/>
                <w:sz w:val="20"/>
                <w:szCs w:val="20"/>
              </w:rPr>
              <w:t xml:space="preserve"> jeżeli prospekt informacyjny, na podstawie którego zawarto umowę deweloperską nie zawiera danych lub informacji określonych we wzorze prospektu informacyjnego;</w:t>
            </w:r>
          </w:p>
          <w:p w14:paraId="506A55A8"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6) w przypadku </w:t>
            </w:r>
            <w:proofErr w:type="gramStart"/>
            <w:r w:rsidR="008C603F" w:rsidRPr="00D01837">
              <w:rPr>
                <w:rFonts w:ascii="Times New Roman" w:eastAsia="Times New Roman" w:hAnsi="Times New Roman" w:cs="Times New Roman"/>
                <w:sz w:val="20"/>
                <w:szCs w:val="20"/>
              </w:rPr>
              <w:t>nie przeniesienia</w:t>
            </w:r>
            <w:proofErr w:type="gramEnd"/>
            <w:r w:rsidRPr="00D01837">
              <w:rPr>
                <w:rFonts w:ascii="Times New Roman" w:eastAsia="Times New Roman" w:hAnsi="Times New Roman" w:cs="Times New Roman"/>
                <w:sz w:val="20"/>
                <w:szCs w:val="20"/>
              </w:rPr>
              <w:t xml:space="preserve"> na Nabywcę praw wynikających z umowy deweloperskiej w terminie wynikającym z tej umowy</w:t>
            </w:r>
          </w:p>
          <w:p w14:paraId="1A64DC09"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7) w </w:t>
            </w:r>
            <w:proofErr w:type="gramStart"/>
            <w:r w:rsidRPr="00D01837">
              <w:rPr>
                <w:rFonts w:ascii="Times New Roman" w:eastAsia="Times New Roman" w:hAnsi="Times New Roman" w:cs="Times New Roman"/>
                <w:sz w:val="20"/>
                <w:szCs w:val="20"/>
              </w:rPr>
              <w:t>przypadku</w:t>
            </w:r>
            <w:proofErr w:type="gramEnd"/>
            <w:r w:rsidRPr="00D01837">
              <w:rPr>
                <w:rFonts w:ascii="Times New Roman" w:eastAsia="Times New Roman" w:hAnsi="Times New Roman" w:cs="Times New Roman"/>
                <w:sz w:val="20"/>
                <w:szCs w:val="20"/>
              </w:rPr>
              <w:t xml:space="preserve"> gdy Deweloper nie zawrze umowy mieszkaniowego rachunku powierniczego z innym bankiem w trybie i terminie, o których mowa w art. 10 ust. 1 powołanej ustawy;</w:t>
            </w:r>
          </w:p>
          <w:p w14:paraId="2A59FC1E"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8) w </w:t>
            </w:r>
            <w:proofErr w:type="gramStart"/>
            <w:r w:rsidRPr="00D01837">
              <w:rPr>
                <w:rFonts w:ascii="Times New Roman" w:eastAsia="Times New Roman" w:hAnsi="Times New Roman" w:cs="Times New Roman"/>
                <w:sz w:val="20"/>
                <w:szCs w:val="20"/>
              </w:rPr>
              <w:t>przypadku</w:t>
            </w:r>
            <w:proofErr w:type="gramEnd"/>
            <w:r w:rsidRPr="00D01837">
              <w:rPr>
                <w:rFonts w:ascii="Times New Roman" w:eastAsia="Times New Roman" w:hAnsi="Times New Roman" w:cs="Times New Roman"/>
                <w:sz w:val="20"/>
                <w:szCs w:val="20"/>
              </w:rPr>
              <w:t xml:space="preserve"> gdy Deweloper nie posiada zgody wierzyciela hipotecznego lub zobowiązania do jej udzielenia, o których mowa w art. 25 ust. 1 pkt 1 lub 2 cytowanej ustawy;</w:t>
            </w:r>
          </w:p>
          <w:p w14:paraId="5929E33D"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9) w przypadku niewykonania przez Dewelopera obowiązku, o którym mowa w art. 12 ust. 2 cytowanej ustawy, w terminie określonym w tym przepisie;</w:t>
            </w:r>
          </w:p>
          <w:p w14:paraId="36FF7AEB"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10) w przypadku nieusunięcia przez Dewelopera wady istotnej lokalu mieszkalnego albo domu jednorodzinnego na zasadach określonych w art. 41 ust. 11 powyższej ustawy;</w:t>
            </w:r>
          </w:p>
          <w:p w14:paraId="021B6876"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11) w przypadku stwierdzenia przez rzeczoznawcę istnienia wady istotnej, o którym mowa w art. 41 ust. 15 powołanej ustawy;</w:t>
            </w:r>
          </w:p>
          <w:p w14:paraId="7083173C"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proofErr w:type="gramStart"/>
            <w:r w:rsidRPr="00D01837">
              <w:rPr>
                <w:rFonts w:ascii="Times New Roman" w:eastAsia="Times New Roman" w:hAnsi="Times New Roman" w:cs="Times New Roman"/>
                <w:sz w:val="20"/>
                <w:szCs w:val="20"/>
              </w:rPr>
              <w:t>12)</w:t>
            </w:r>
            <w:proofErr w:type="gramEnd"/>
            <w:r w:rsidRPr="00D01837">
              <w:rPr>
                <w:rFonts w:ascii="Times New Roman" w:eastAsia="Times New Roman" w:hAnsi="Times New Roman" w:cs="Times New Roman"/>
                <w:sz w:val="20"/>
                <w:szCs w:val="20"/>
              </w:rPr>
              <w:t xml:space="preserve"> jeżeli syndyk zażądał wykonania umowy na podstawie art. 98 ustawy z dnia 28 lutego 2003 r. - Prawo upadłościowe.</w:t>
            </w:r>
          </w:p>
          <w:p w14:paraId="701F449E"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 przypadkach, o których mowa w punktach 1-5 Nabywca ma prawo odstąpienia od umowy deweloperskiej w terminie 30 dni od dnia jej zawarcia.</w:t>
            </w:r>
          </w:p>
          <w:p w14:paraId="7A9860D9"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 przypadku, o którym mowa w punkcie 6, przed skorzystaniem z prawa do odstąpienia od umowy Nabywca wyznacza deweloperowi 120-dniowy termin na przeniesienie praw wynikających z umowy deweloperskiej a w razie bezskutecznego upływu wyznaczonego terminu jest uprawniony do odstąpienia od tej umowy. Nabywca zachowuje roszczenie z tytułu kary umownej za okres opóźnienia.</w:t>
            </w:r>
          </w:p>
          <w:p w14:paraId="42C863FC"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 przypadku, o którym mowa w punkcie 7 Nabywca ma prawo odstąpienia od umowy deweloperskiej po dokonaniu przez bank zwrotu środków zgodnie z art. 10 ust. 3 cytowanej wyżej ustawy.</w:t>
            </w:r>
          </w:p>
          <w:p w14:paraId="1CB09DD4"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 przypadku, o którym mowa w punkcie 8 Nabywca ma prawo odstąpienia od umowy deweloperskiej w terminie 60 dni od dnia jej zawarcia.</w:t>
            </w:r>
          </w:p>
          <w:p w14:paraId="3EA39B58"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 przypadku, o którym mowa w punkcie 9 Nabywca ma prawo odstąpienia od umowy deweloperskiej po upływie 60 dni od dnia podania do publicznej wiadomości informacji, o których mowa w art. 12 ust. 1 cytowanej wyżej ustawy</w:t>
            </w:r>
          </w:p>
          <w:p w14:paraId="258B43D4"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II. Ponadto Nabywca ma prawo odstąpić od umowy:</w:t>
            </w:r>
          </w:p>
          <w:p w14:paraId="6AB5F314"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1/ W przypadku wystąpienia różnicy w powierzchni użytkowej Lokalu (lokalu mieszkalnego wraz z pomieszczeniem przynależnym) – większej niż plus/minus 1% (jeden procent) – między powierzchnią wskazaną w §4 umowy, wynikającą z dokumentacji projektowej, a powierzchnią wynikającą z inwentaryzacji powykonawczej, Nabywca będzie uprawniony do odstąpienia od niniejszej umowy w terminie 30 dni od dnia w którym Deweloper poinformował Nabywcę o powierzchni Lokalu wynikającej z inwentaryzacji powykonawczej.</w:t>
            </w:r>
          </w:p>
          <w:p w14:paraId="613B4904"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lastRenderedPageBreak/>
              <w:t>2/ w przypadku podwyższenia stawki podatku VAT powyżej 8% (osiem procent) mającej wpływ na wysokość Ceny za Lokalu, Nabywca będzie uprawniony do odstąpienia od niniejszej umowy w terminie 30 (trzydziestu) dni licząc od dnia otrzymania od Dewelopera zawiadomienia o dokonaniu zmiany z powyższej przyczyny Ceny za Lokal.</w:t>
            </w:r>
          </w:p>
          <w:p w14:paraId="3A6CF6DF"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III.  Deweloper ma prawo odstąpić od umowy, w trybie art. 43 ustawy z dnia 20 maja 2021 roku o ochronie praw nabywcy lokalu mieszkalnego lub domu jednorodzinnego oraz Deweloperskim Funduszu Gwarancyjnym (Dz.U. z 2021 r. poz.1177) [Ustawa Deweloperska], to jest:</w:t>
            </w:r>
          </w:p>
          <w:p w14:paraId="01478961" w14:textId="77777777" w:rsidR="00F02DBD" w:rsidRPr="00D01837" w:rsidRDefault="00F02DBD" w:rsidP="00F02DBD">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1/ w przypadku niespełnienia przez Nabywcę świadczenia pieniężnego w terminach lub wysokościach określonych w § 9 umowy, mimo wezwania Nabywcy w formie pisemnej do uiszczenia zaległych kwot w terminie 30 dni od dnia doręczenia wezwania, chyba że niespełnienie przez Nabywcę świadczenia pieniężnego jest spowodowane działaniem siły wyższej;</w:t>
            </w:r>
          </w:p>
          <w:p w14:paraId="306E02D7" w14:textId="77777777" w:rsidR="00844639" w:rsidRPr="00D01837" w:rsidRDefault="00F02DBD" w:rsidP="00844639">
            <w:pPr>
              <w:spacing w:before="144" w:after="144" w:line="240" w:lineRule="auto"/>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2/ w przypadku niestawienia się Nabywcy do odbioru Lokalu mieszkalnego lub podpisania aktu notarialnego przenoszącego na Nabywcę prawa wynikające z tej umowy deweloperskiej, mimo dwukrotnego doręczenia wezwania w formie pisemnej w odstępie co najmniej 60 dni, chyba że niestawienie się Nabywcy jest spowodowane działaniem siły wyższej.</w:t>
            </w:r>
          </w:p>
        </w:tc>
      </w:tr>
      <w:tr w:rsidR="00D01837" w:rsidRPr="00D01837" w14:paraId="6AB12B5D" w14:textId="77777777">
        <w:trPr>
          <w:trHeight w:val="510"/>
        </w:trPr>
        <w:tc>
          <w:tcPr>
            <w:tcW w:w="9648" w:type="dxa"/>
            <w:gridSpan w:val="3"/>
            <w:tcBorders>
              <w:bottom w:val="single" w:sz="4" w:space="0" w:color="000000"/>
            </w:tcBorders>
            <w:shd w:val="clear" w:color="auto" w:fill="D9D9D9"/>
          </w:tcPr>
          <w:p w14:paraId="6421406B" w14:textId="77777777" w:rsidR="00AD5AC5" w:rsidRPr="00D01837" w:rsidRDefault="00AD5AC5" w:rsidP="00AD5AC5">
            <w:pPr>
              <w:spacing w:before="144" w:after="144" w:line="240" w:lineRule="auto"/>
              <w:jc w:val="both"/>
              <w:rPr>
                <w:rFonts w:ascii="Times New Roman" w:eastAsia="Times New Roman" w:hAnsi="Times New Roman" w:cs="Times New Roman"/>
                <w:b/>
                <w:sz w:val="20"/>
                <w:szCs w:val="20"/>
              </w:rPr>
            </w:pPr>
            <w:r w:rsidRPr="00D01837">
              <w:rPr>
                <w:rFonts w:ascii="Times New Roman" w:eastAsia="Times New Roman" w:hAnsi="Times New Roman" w:cs="Times New Roman"/>
                <w:b/>
                <w:sz w:val="20"/>
                <w:szCs w:val="20"/>
              </w:rPr>
              <w:lastRenderedPageBreak/>
              <w:t xml:space="preserve">INNE INFORMACJE </w:t>
            </w:r>
          </w:p>
        </w:tc>
      </w:tr>
      <w:tr w:rsidR="00D01837" w:rsidRPr="00D01837" w14:paraId="00E03282" w14:textId="77777777">
        <w:trPr>
          <w:trHeight w:val="1512"/>
        </w:trPr>
        <w:tc>
          <w:tcPr>
            <w:tcW w:w="9648" w:type="dxa"/>
            <w:gridSpan w:val="3"/>
            <w:tcBorders>
              <w:bottom w:val="nil"/>
            </w:tcBorders>
            <w:shd w:val="clear" w:color="auto" w:fill="F3F3F3"/>
          </w:tcPr>
          <w:p w14:paraId="29D972E4"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I. Informacja o:</w:t>
            </w:r>
          </w:p>
          <w:p w14:paraId="16196215" w14:textId="77777777" w:rsidR="00AD5AC5" w:rsidRPr="00D01837" w:rsidRDefault="00AD5AC5" w:rsidP="00AD5AC5">
            <w:pPr>
              <w:spacing w:before="144" w:after="144" w:line="240" w:lineRule="auto"/>
              <w:ind w:left="313" w:hanging="313"/>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1)</w:t>
            </w:r>
            <w:r w:rsidRPr="00D01837">
              <w:rPr>
                <w:rFonts w:ascii="Times New Roman" w:eastAsia="Times New Roman" w:hAnsi="Times New Roman" w:cs="Times New Roman"/>
                <w:sz w:val="20"/>
                <w:szCs w:val="20"/>
              </w:rPr>
              <w:tab/>
              <w:t xml:space="preserve">zgodzie banku lub innego wierzyciela hipotecznego na </w:t>
            </w:r>
            <w:r w:rsidR="008C603F" w:rsidRPr="00D01837">
              <w:rPr>
                <w:rFonts w:ascii="Times New Roman" w:eastAsia="Times New Roman" w:hAnsi="Times New Roman" w:cs="Times New Roman"/>
                <w:sz w:val="20"/>
                <w:szCs w:val="20"/>
              </w:rPr>
              <w:t>bez obciążeniowe</w:t>
            </w:r>
            <w:r w:rsidRPr="00D01837">
              <w:rPr>
                <w:rFonts w:ascii="Times New Roman" w:eastAsia="Times New Roman" w:hAnsi="Times New Roman" w:cs="Times New Roman"/>
                <w:sz w:val="20"/>
                <w:szCs w:val="20"/>
              </w:rPr>
              <w:t xml:space="preserve"> ustanowienie odrębnej własności lokalu mieszkalnego i przeniesienie jego własności na nabywcę po wpłacie pełnej ceny przez nabywcę lub zobowiązanie do jej udzielenia, jeżeli takie obciążenie istnieje, albo zgodzie banku lub innego wierzyciela hipotecznego na </w:t>
            </w:r>
            <w:r w:rsidR="008C603F" w:rsidRPr="00D01837">
              <w:rPr>
                <w:rFonts w:ascii="Times New Roman" w:eastAsia="Times New Roman" w:hAnsi="Times New Roman" w:cs="Times New Roman"/>
                <w:sz w:val="20"/>
                <w:szCs w:val="20"/>
              </w:rPr>
              <w:t>bez obciążeniowe</w:t>
            </w:r>
            <w:r w:rsidRPr="00D01837">
              <w:rPr>
                <w:rFonts w:ascii="Times New Roman" w:eastAsia="Times New Roman" w:hAnsi="Times New Roman" w:cs="Times New Roman"/>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66D47D85" w14:textId="77777777" w:rsidR="00AD5AC5" w:rsidRPr="00D01837" w:rsidRDefault="00AD5AC5" w:rsidP="00AD5AC5">
            <w:pPr>
              <w:spacing w:before="144" w:after="144" w:line="240" w:lineRule="auto"/>
              <w:ind w:left="313" w:hanging="313"/>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2)</w:t>
            </w:r>
            <w:r w:rsidRPr="00D01837">
              <w:rPr>
                <w:rFonts w:ascii="Times New Roman" w:eastAsia="Times New Roman" w:hAnsi="Times New Roman" w:cs="Times New Roman"/>
                <w:sz w:val="20"/>
                <w:szCs w:val="20"/>
              </w:rPr>
              <w:tab/>
              <w:t>w przypadku umów, o których mowa w art. 2 ust. 2 ustawy z dnia</w:t>
            </w:r>
            <w:r w:rsidR="001F440E" w:rsidRPr="00D01837">
              <w:rPr>
                <w:rFonts w:ascii="Times New Roman" w:eastAsia="Times New Roman" w:hAnsi="Times New Roman" w:cs="Times New Roman"/>
                <w:sz w:val="20"/>
                <w:szCs w:val="20"/>
              </w:rPr>
              <w:t xml:space="preserve"> 20.05.2021 r.</w:t>
            </w:r>
            <w:r w:rsidRPr="00D01837">
              <w:rPr>
                <w:rFonts w:ascii="Times New Roman" w:eastAsia="Times New Roman" w:hAnsi="Times New Roman" w:cs="Times New Roman"/>
                <w:sz w:val="20"/>
                <w:szCs w:val="20"/>
              </w:rPr>
              <w:t xml:space="preserve"> o ochronie praw nabywcy lokalu mieszkalnego lub domu jednorodzinnego oraz o Deweloperskim Funduszu Gwarancyjnym, o zgodzie banku lub innego wierzyciela hipotecznego na </w:t>
            </w:r>
            <w:r w:rsidR="008C603F" w:rsidRPr="00D01837">
              <w:rPr>
                <w:rFonts w:ascii="Times New Roman" w:eastAsia="Times New Roman" w:hAnsi="Times New Roman" w:cs="Times New Roman"/>
                <w:sz w:val="20"/>
                <w:szCs w:val="20"/>
              </w:rPr>
              <w:t>bez obciążeniowe</w:t>
            </w:r>
            <w:r w:rsidRPr="00D01837">
              <w:rPr>
                <w:rFonts w:ascii="Times New Roman" w:eastAsia="Times New Roman" w:hAnsi="Times New Roman" w:cs="Times New Roman"/>
                <w:sz w:val="20"/>
                <w:szCs w:val="20"/>
              </w:rPr>
              <w:t xml:space="preserve"> przeniesienie własności lokalu użytkowego na nabywcę po wpłacie pełnej ceny przez nabywcę lub zobowiązanie do udzielenia takiej zgody, jeżeli takie obciążenie istnieje, albo zgodzie banku lub innego wierzyciela hipotecznego na </w:t>
            </w:r>
            <w:r w:rsidR="008C603F" w:rsidRPr="00D01837">
              <w:rPr>
                <w:rFonts w:ascii="Times New Roman" w:eastAsia="Times New Roman" w:hAnsi="Times New Roman" w:cs="Times New Roman"/>
                <w:sz w:val="20"/>
                <w:szCs w:val="20"/>
              </w:rPr>
              <w:t>bez obciążeniowe</w:t>
            </w:r>
            <w:r w:rsidRPr="00D01837">
              <w:rPr>
                <w:rFonts w:ascii="Times New Roman" w:eastAsia="Times New Roman" w:hAnsi="Times New Roman" w:cs="Times New Roman"/>
                <w:sz w:val="20"/>
                <w:szCs w:val="20"/>
              </w:rPr>
              <w:t xml:space="preserve"> przeniesienie na nabywcę ułamkowej części własności lokalu użytkowego po wpłacie pełnej ceny przez nabywcę lub zobowiązanie do udzielenia takiej zgody, jeżeli takie obciążenie istnieje.</w:t>
            </w:r>
          </w:p>
        </w:tc>
      </w:tr>
      <w:tr w:rsidR="00D01837" w:rsidRPr="00D01837" w14:paraId="7E5DC132" w14:textId="77777777">
        <w:trPr>
          <w:trHeight w:val="1512"/>
        </w:trPr>
        <w:tc>
          <w:tcPr>
            <w:tcW w:w="9648" w:type="dxa"/>
            <w:gridSpan w:val="3"/>
            <w:tcBorders>
              <w:top w:val="nil"/>
              <w:bottom w:val="nil"/>
            </w:tcBorders>
            <w:shd w:val="clear" w:color="auto" w:fill="FFFFFF"/>
          </w:tcPr>
          <w:p w14:paraId="33FE5AE0"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II. Informacja o możliwości zapoznania się w lokalu przedsiębiorstwa przez osobę zainteresowaną zawarciem umowy odpowiednio do zakresu umowy z:</w:t>
            </w:r>
          </w:p>
          <w:p w14:paraId="3FF11F50" w14:textId="77777777" w:rsidR="00AD5AC5" w:rsidRPr="00D01837" w:rsidRDefault="00AD5AC5" w:rsidP="00AD5AC5">
            <w:pPr>
              <w:widowControl w:val="0"/>
              <w:numPr>
                <w:ilvl w:val="0"/>
                <w:numId w:val="5"/>
              </w:numPr>
              <w:spacing w:before="144" w:after="0" w:line="240" w:lineRule="auto"/>
              <w:ind w:left="738" w:hanging="378"/>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aktualnym stanem księgi wieczystej;</w:t>
            </w:r>
          </w:p>
          <w:p w14:paraId="204B2089" w14:textId="77777777" w:rsidR="00AD5AC5" w:rsidRPr="00D01837" w:rsidRDefault="00AD5AC5" w:rsidP="00AD5AC5">
            <w:pPr>
              <w:widowControl w:val="0"/>
              <w:numPr>
                <w:ilvl w:val="0"/>
                <w:numId w:val="5"/>
              </w:numPr>
              <w:spacing w:after="0" w:line="240" w:lineRule="auto"/>
              <w:ind w:left="738" w:hanging="378"/>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lub wydrukiem ze strony internetowej tej ewidencji;</w:t>
            </w:r>
          </w:p>
          <w:p w14:paraId="7D2BE91B" w14:textId="77777777" w:rsidR="00AD5AC5" w:rsidRPr="00D01837" w:rsidRDefault="00AD5AC5" w:rsidP="00AD5AC5">
            <w:pPr>
              <w:widowControl w:val="0"/>
              <w:numPr>
                <w:ilvl w:val="0"/>
                <w:numId w:val="5"/>
              </w:numPr>
              <w:spacing w:after="0" w:line="240" w:lineRule="auto"/>
              <w:ind w:left="738" w:hanging="378"/>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kopią decyzji o pozwoleniu na budowę;</w:t>
            </w:r>
          </w:p>
          <w:p w14:paraId="189A99A3" w14:textId="77777777" w:rsidR="00AD5AC5" w:rsidRPr="00D01837" w:rsidRDefault="00AD5AC5" w:rsidP="00AD5AC5">
            <w:pPr>
              <w:widowControl w:val="0"/>
              <w:numPr>
                <w:ilvl w:val="0"/>
                <w:numId w:val="5"/>
              </w:numPr>
              <w:spacing w:after="0" w:line="240" w:lineRule="auto"/>
              <w:ind w:left="738" w:hanging="378"/>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sprawozdaniem finansowym dewelopera za ostatnie dwa lata, a w przypadku realizacji inwestycji przez spółkę celową – sprawozdaniem spółki dominującej oraz spółki celowej;</w:t>
            </w:r>
          </w:p>
          <w:p w14:paraId="7E04BA2F" w14:textId="77777777" w:rsidR="00AD5AC5" w:rsidRPr="00D01837" w:rsidRDefault="00AD5AC5" w:rsidP="00AD5AC5">
            <w:pPr>
              <w:widowControl w:val="0"/>
              <w:numPr>
                <w:ilvl w:val="0"/>
                <w:numId w:val="5"/>
              </w:numPr>
              <w:spacing w:after="0" w:line="240" w:lineRule="auto"/>
              <w:ind w:left="738" w:hanging="378"/>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projektem budowlanym;</w:t>
            </w:r>
          </w:p>
          <w:p w14:paraId="16679137" w14:textId="77777777" w:rsidR="00AD5AC5" w:rsidRPr="00D01837" w:rsidRDefault="00AD5AC5" w:rsidP="00AD5AC5">
            <w:pPr>
              <w:widowControl w:val="0"/>
              <w:numPr>
                <w:ilvl w:val="0"/>
                <w:numId w:val="5"/>
              </w:numPr>
              <w:spacing w:after="0" w:line="240" w:lineRule="auto"/>
              <w:ind w:left="738" w:hanging="378"/>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kopią decyzji o pozwoleniu na użytkowanie budynku;</w:t>
            </w:r>
          </w:p>
          <w:p w14:paraId="1E3AB370" w14:textId="77777777" w:rsidR="00AD5AC5" w:rsidRPr="00D01837" w:rsidRDefault="00AD5AC5" w:rsidP="00AD5AC5">
            <w:pPr>
              <w:widowControl w:val="0"/>
              <w:numPr>
                <w:ilvl w:val="0"/>
                <w:numId w:val="5"/>
              </w:numPr>
              <w:spacing w:after="0" w:line="240" w:lineRule="auto"/>
              <w:ind w:left="738" w:hanging="378"/>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zaświadczeniem o samodzielności lokalu;</w:t>
            </w:r>
          </w:p>
          <w:p w14:paraId="4D029BF7" w14:textId="77777777" w:rsidR="00AD5AC5" w:rsidRPr="00D01837" w:rsidRDefault="00AD5AC5" w:rsidP="00AD5AC5">
            <w:pPr>
              <w:widowControl w:val="0"/>
              <w:numPr>
                <w:ilvl w:val="0"/>
                <w:numId w:val="5"/>
              </w:numPr>
              <w:spacing w:after="0" w:line="240" w:lineRule="auto"/>
              <w:ind w:left="738" w:hanging="378"/>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aktem ustanowienia odrębnej własności lokalu;</w:t>
            </w:r>
          </w:p>
          <w:p w14:paraId="7826291F" w14:textId="77777777" w:rsidR="00AD5AC5" w:rsidRPr="00D01837" w:rsidRDefault="00AD5AC5" w:rsidP="00AD5AC5">
            <w:pPr>
              <w:widowControl w:val="0"/>
              <w:numPr>
                <w:ilvl w:val="0"/>
                <w:numId w:val="5"/>
              </w:numPr>
              <w:spacing w:after="0" w:line="240" w:lineRule="auto"/>
              <w:ind w:left="738" w:hanging="378"/>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dokumentem potwierdzającym:</w:t>
            </w:r>
          </w:p>
          <w:p w14:paraId="6B0474A8" w14:textId="77777777" w:rsidR="00AD5AC5" w:rsidRPr="00D01837" w:rsidRDefault="00AD5AC5" w:rsidP="00AD5AC5">
            <w:pPr>
              <w:widowControl w:val="0"/>
              <w:numPr>
                <w:ilvl w:val="0"/>
                <w:numId w:val="1"/>
              </w:numPr>
              <w:spacing w:after="0" w:line="240" w:lineRule="auto"/>
              <w:ind w:left="1163" w:hanging="425"/>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 xml:space="preserve">zgodę banku lub innego wierzyciela hipotecznego na </w:t>
            </w:r>
            <w:r w:rsidR="008C603F" w:rsidRPr="00D01837">
              <w:rPr>
                <w:rFonts w:ascii="Times New Roman" w:eastAsia="Times New Roman" w:hAnsi="Times New Roman" w:cs="Times New Roman"/>
                <w:sz w:val="20"/>
                <w:szCs w:val="20"/>
              </w:rPr>
              <w:t>bez obciążeniowe</w:t>
            </w:r>
            <w:r w:rsidRPr="00D01837">
              <w:rPr>
                <w:rFonts w:ascii="Times New Roman" w:eastAsia="Times New Roman" w:hAnsi="Times New Roman" w:cs="Times New Roman"/>
                <w:sz w:val="20"/>
                <w:szCs w:val="20"/>
              </w:rPr>
              <w:t xml:space="preserve"> ustanowienie odrębnej własności lokalu mieszkalnego i przeniesienie jego własności na nabywcę po wpłacie pełnej ceny przez </w:t>
            </w:r>
            <w:r w:rsidRPr="00D01837">
              <w:rPr>
                <w:rFonts w:ascii="Times New Roman" w:eastAsia="Times New Roman" w:hAnsi="Times New Roman" w:cs="Times New Roman"/>
                <w:sz w:val="20"/>
                <w:szCs w:val="20"/>
              </w:rPr>
              <w:lastRenderedPageBreak/>
              <w:t xml:space="preserve">nabywcę lub zobowiązaniem do jej udzielenia, jeżeli takie obciążenie istnieje, albo zgodą banku lub innego wierzyciela hipotecznego na </w:t>
            </w:r>
            <w:r w:rsidR="008C603F" w:rsidRPr="00D01837">
              <w:rPr>
                <w:rFonts w:ascii="Times New Roman" w:eastAsia="Times New Roman" w:hAnsi="Times New Roman" w:cs="Times New Roman"/>
                <w:sz w:val="20"/>
                <w:szCs w:val="20"/>
              </w:rPr>
              <w:t>bez obciążeniowe</w:t>
            </w:r>
            <w:r w:rsidRPr="00D01837">
              <w:rPr>
                <w:rFonts w:ascii="Times New Roman" w:eastAsia="Times New Roman" w:hAnsi="Times New Roman" w:cs="Times New Roman"/>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zobowiązaniem do jej udzielenia, jeżeli takie obciążenie istnieje, </w:t>
            </w:r>
          </w:p>
          <w:p w14:paraId="24FC4E8A" w14:textId="77777777" w:rsidR="00AD5AC5" w:rsidRPr="00D01837" w:rsidRDefault="00AD5AC5" w:rsidP="00AD5AC5">
            <w:pPr>
              <w:widowControl w:val="0"/>
              <w:numPr>
                <w:ilvl w:val="0"/>
                <w:numId w:val="1"/>
              </w:numPr>
              <w:spacing w:after="144" w:line="240" w:lineRule="auto"/>
              <w:ind w:left="1163" w:hanging="425"/>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 przypadku umów, o których mowa w art. 2 ust. 2 z dnia</w:t>
            </w:r>
            <w:r w:rsidR="001F440E" w:rsidRPr="00D01837">
              <w:rPr>
                <w:rFonts w:ascii="Times New Roman" w:eastAsia="Times New Roman" w:hAnsi="Times New Roman" w:cs="Times New Roman"/>
                <w:sz w:val="20"/>
                <w:szCs w:val="20"/>
              </w:rPr>
              <w:t xml:space="preserve"> 20.05.2021 r.</w:t>
            </w:r>
            <w:r w:rsidRPr="00D01837">
              <w:rPr>
                <w:rFonts w:ascii="Times New Roman" w:eastAsia="Times New Roman" w:hAnsi="Times New Roman" w:cs="Times New Roman"/>
                <w:sz w:val="20"/>
                <w:szCs w:val="20"/>
              </w:rPr>
              <w:t xml:space="preserve"> o ochronie praw nabywcy lokalu mieszkalnego lub domu jednorodzinnego oraz o Deweloperskim Funduszu Gwarancyjnym, zgodą banku lub innego wierzyciela hipotecznego na </w:t>
            </w:r>
            <w:r w:rsidR="008C603F" w:rsidRPr="00D01837">
              <w:rPr>
                <w:rFonts w:ascii="Times New Roman" w:eastAsia="Times New Roman" w:hAnsi="Times New Roman" w:cs="Times New Roman"/>
                <w:sz w:val="20"/>
                <w:szCs w:val="20"/>
              </w:rPr>
              <w:t>bez obciążeniowe</w:t>
            </w:r>
            <w:r w:rsidRPr="00D01837">
              <w:rPr>
                <w:rFonts w:ascii="Times New Roman" w:eastAsia="Times New Roman" w:hAnsi="Times New Roman" w:cs="Times New Roman"/>
                <w:sz w:val="20"/>
                <w:szCs w:val="20"/>
              </w:rPr>
              <w:t xml:space="preserve"> przeniesienie własności lokalu użytkowego na nabywcę po wpłacie pełnej ceny przez nabywcę lub zobowiązaniem do udzielenia takiej zgody, jeżeli takie obciążenie istnieje, albo zgodą banku lub innego wierzyciela hipotecznego na </w:t>
            </w:r>
            <w:r w:rsidR="008C603F" w:rsidRPr="00D01837">
              <w:rPr>
                <w:rFonts w:ascii="Times New Roman" w:eastAsia="Times New Roman" w:hAnsi="Times New Roman" w:cs="Times New Roman"/>
                <w:sz w:val="20"/>
                <w:szCs w:val="20"/>
              </w:rPr>
              <w:t>bez obciążeniowe</w:t>
            </w:r>
            <w:r w:rsidRPr="00D01837">
              <w:rPr>
                <w:rFonts w:ascii="Times New Roman" w:eastAsia="Times New Roman" w:hAnsi="Times New Roman" w:cs="Times New Roman"/>
                <w:sz w:val="20"/>
                <w:szCs w:val="20"/>
              </w:rPr>
              <w:t xml:space="preserve"> przeniesienie na nabywcę ułamkowej części własności lokalu użytkowego po wpłacie pełnej ceny przez nabywcę lub zobowiązaniem do udzielenia takiej zgody, jeżeli takie obciążenie istnieje.</w:t>
            </w:r>
          </w:p>
        </w:tc>
      </w:tr>
      <w:tr w:rsidR="00D01837" w:rsidRPr="00D01837" w14:paraId="50C026AB" w14:textId="77777777">
        <w:trPr>
          <w:trHeight w:val="1512"/>
        </w:trPr>
        <w:tc>
          <w:tcPr>
            <w:tcW w:w="9648" w:type="dxa"/>
            <w:gridSpan w:val="3"/>
            <w:tcBorders>
              <w:top w:val="nil"/>
            </w:tcBorders>
            <w:shd w:val="clear" w:color="auto" w:fill="FFFFFF"/>
          </w:tcPr>
          <w:p w14:paraId="6DC99CCA"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lastRenderedPageBreak/>
              <w:t>III. Informacja:</w:t>
            </w:r>
          </w:p>
          <w:p w14:paraId="6A90D483" w14:textId="041CCF2A"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Środki pieniężne zgromadzone w</w:t>
            </w:r>
            <w:r w:rsidR="00FF62F4">
              <w:rPr>
                <w:rFonts w:ascii="Times New Roman" w:eastAsia="Times New Roman" w:hAnsi="Times New Roman" w:cs="Times New Roman"/>
                <w:sz w:val="20"/>
                <w:szCs w:val="20"/>
              </w:rPr>
              <w:t xml:space="preserve"> </w:t>
            </w:r>
            <w:r w:rsidR="00555B2A">
              <w:rPr>
                <w:rFonts w:ascii="Times New Roman" w:eastAsia="Times New Roman" w:hAnsi="Times New Roman" w:cs="Times New Roman"/>
                <w:sz w:val="20"/>
                <w:szCs w:val="20"/>
              </w:rPr>
              <w:t>Banku Spółdzielczym w Ostrowi Mazowieckiej</w:t>
            </w:r>
            <w:r w:rsidRPr="00D01837">
              <w:rPr>
                <w:rFonts w:ascii="Times New Roman" w:eastAsia="Times New Roman" w:hAnsi="Times New Roman" w:cs="Times New Roman"/>
                <w:sz w:val="20"/>
                <w:szCs w:val="20"/>
              </w:rPr>
              <w:t>,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w:t>
            </w:r>
          </w:p>
          <w:p w14:paraId="51358B6B"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Informacje podstawowe o obowiązkowym systemie gwarantowania depozytów:</w:t>
            </w:r>
          </w:p>
          <w:p w14:paraId="0E325BF2" w14:textId="77777777" w:rsidR="008D27B3" w:rsidRPr="00D01837" w:rsidRDefault="00AD5AC5" w:rsidP="00AD5AC5">
            <w:pPr>
              <w:spacing w:before="144" w:after="144" w:line="240" w:lineRule="auto"/>
              <w:ind w:left="313" w:hanging="313"/>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t>
            </w:r>
            <w:r w:rsidRPr="00D01837">
              <w:rPr>
                <w:rFonts w:ascii="Times New Roman" w:eastAsia="Times New Roman" w:hAnsi="Times New Roman" w:cs="Times New Roman"/>
                <w:sz w:val="20"/>
                <w:szCs w:val="20"/>
              </w:rPr>
              <w:tab/>
              <w:t xml:space="preserve">ochrona środków dotyczy sytuacji spełnienia warunku gwarancji wobec </w:t>
            </w:r>
            <w:r w:rsidR="00555B2A">
              <w:rPr>
                <w:rFonts w:ascii="Times New Roman" w:eastAsia="Times New Roman" w:hAnsi="Times New Roman" w:cs="Times New Roman"/>
                <w:sz w:val="20"/>
                <w:szCs w:val="20"/>
              </w:rPr>
              <w:t>Banku Spółdzielczego w Ostrowi Mazowieckiej</w:t>
            </w:r>
          </w:p>
          <w:p w14:paraId="3CFDFEBF" w14:textId="77777777" w:rsidR="00AD5AC5" w:rsidRPr="00D01837" w:rsidRDefault="00AD5AC5" w:rsidP="00AD5AC5">
            <w:pPr>
              <w:spacing w:before="144" w:after="144" w:line="240" w:lineRule="auto"/>
              <w:ind w:left="313" w:hanging="313"/>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t>
            </w:r>
            <w:r w:rsidRPr="00D01837">
              <w:rPr>
                <w:rFonts w:ascii="Times New Roman" w:eastAsia="Times New Roman" w:hAnsi="Times New Roman" w:cs="Times New Roman"/>
                <w:sz w:val="20"/>
                <w:szCs w:val="20"/>
              </w:rPr>
              <w:tab/>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7722C930" w14:textId="77777777" w:rsidR="00AD5AC5" w:rsidRPr="00D01837" w:rsidRDefault="00AD5AC5" w:rsidP="00AD5AC5">
            <w:pPr>
              <w:spacing w:before="144" w:after="144" w:line="240" w:lineRule="auto"/>
              <w:ind w:left="313" w:hanging="313"/>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t>
            </w:r>
            <w:r w:rsidRPr="00D01837">
              <w:rPr>
                <w:rFonts w:ascii="Times New Roman" w:eastAsia="Times New Roman" w:hAnsi="Times New Roman" w:cs="Times New Roman"/>
                <w:sz w:val="20"/>
                <w:szCs w:val="20"/>
              </w:rPr>
              <w:tab/>
              <w:t>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14:paraId="0C8D348C" w14:textId="77777777" w:rsidR="00AD5AC5" w:rsidRPr="00D01837" w:rsidRDefault="00AD5AC5" w:rsidP="00AD5AC5">
            <w:pPr>
              <w:spacing w:before="144" w:after="144" w:line="240" w:lineRule="auto"/>
              <w:ind w:left="313" w:hanging="313"/>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t>
            </w:r>
            <w:r w:rsidRPr="00D01837">
              <w:rPr>
                <w:rFonts w:ascii="Times New Roman" w:eastAsia="Times New Roman" w:hAnsi="Times New Roman" w:cs="Times New Roman"/>
                <w:sz w:val="20"/>
                <w:szCs w:val="20"/>
              </w:rPr>
              <w:tab/>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14:paraId="202586F3" w14:textId="77777777" w:rsidR="00AD5AC5" w:rsidRPr="00D01837" w:rsidRDefault="00AD5AC5" w:rsidP="00AD5AC5">
            <w:pPr>
              <w:spacing w:before="144" w:after="144" w:line="240" w:lineRule="auto"/>
              <w:ind w:left="313" w:hanging="313"/>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t>
            </w:r>
            <w:r w:rsidRPr="00D01837">
              <w:rPr>
                <w:rFonts w:ascii="Times New Roman" w:eastAsia="Times New Roman" w:hAnsi="Times New Roman" w:cs="Times New Roman"/>
                <w:sz w:val="20"/>
                <w:szCs w:val="20"/>
              </w:rPr>
              <w:tab/>
              <w:t>wypłata środków gwarantowanych – co do zasady – następuje w terminie 7 dni roboczych od dnia spełnienia warunku gwarancji wobec banku,</w:t>
            </w:r>
          </w:p>
          <w:p w14:paraId="5AB6D292" w14:textId="77777777" w:rsidR="00AD5AC5" w:rsidRPr="00D01837" w:rsidRDefault="00AD5AC5" w:rsidP="00AD5AC5">
            <w:pPr>
              <w:spacing w:before="144" w:after="144" w:line="240" w:lineRule="auto"/>
              <w:ind w:left="313" w:hanging="313"/>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t>
            </w:r>
            <w:r w:rsidRPr="00D01837">
              <w:rPr>
                <w:rFonts w:ascii="Times New Roman" w:eastAsia="Times New Roman" w:hAnsi="Times New Roman" w:cs="Times New Roman"/>
                <w:sz w:val="20"/>
                <w:szCs w:val="20"/>
              </w:rPr>
              <w:tab/>
              <w:t>wypłata środków gwarantowanych jest dokonywana w złotych,</w:t>
            </w:r>
          </w:p>
          <w:p w14:paraId="32B91105" w14:textId="77777777" w:rsidR="00AD5AC5" w:rsidRPr="00D01837" w:rsidRDefault="00AD5AC5" w:rsidP="00AD5AC5">
            <w:pPr>
              <w:spacing w:before="144" w:after="144" w:line="240" w:lineRule="auto"/>
              <w:ind w:left="313" w:hanging="313"/>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w:t>
            </w:r>
            <w:r w:rsidRPr="00D01837">
              <w:rPr>
                <w:rFonts w:ascii="Times New Roman" w:eastAsia="Times New Roman" w:hAnsi="Times New Roman" w:cs="Times New Roman"/>
                <w:sz w:val="20"/>
                <w:szCs w:val="20"/>
              </w:rPr>
              <w:tab/>
            </w:r>
            <w:r w:rsidR="00555B2A">
              <w:rPr>
                <w:rFonts w:ascii="Times New Roman" w:eastAsia="Times New Roman" w:hAnsi="Times New Roman" w:cs="Times New Roman"/>
                <w:sz w:val="20"/>
                <w:szCs w:val="20"/>
              </w:rPr>
              <w:t>Bank Spółdzielczy w Ostrowi Mazowieckiej</w:t>
            </w:r>
            <w:r w:rsidR="00F05F3B">
              <w:rPr>
                <w:rFonts w:ascii="Times New Roman" w:eastAsia="Times New Roman" w:hAnsi="Times New Roman" w:cs="Times New Roman"/>
                <w:sz w:val="20"/>
                <w:szCs w:val="20"/>
              </w:rPr>
              <w:t xml:space="preserve"> </w:t>
            </w:r>
            <w:r w:rsidRPr="00D01837">
              <w:rPr>
                <w:rFonts w:ascii="Times New Roman" w:eastAsia="Times New Roman" w:hAnsi="Times New Roman" w:cs="Times New Roman"/>
                <w:sz w:val="20"/>
                <w:szCs w:val="20"/>
              </w:rPr>
              <w:t xml:space="preserve">korzysta także z następujących znaków </w:t>
            </w:r>
            <w:proofErr w:type="gramStart"/>
            <w:r w:rsidRPr="00D01837">
              <w:rPr>
                <w:rFonts w:ascii="Times New Roman" w:eastAsia="Times New Roman" w:hAnsi="Times New Roman" w:cs="Times New Roman"/>
                <w:sz w:val="20"/>
                <w:szCs w:val="20"/>
              </w:rPr>
              <w:t>towarowych:</w:t>
            </w:r>
            <w:r w:rsidR="00555B2A">
              <w:rPr>
                <w:rFonts w:ascii="Times New Roman" w:eastAsia="Times New Roman" w:hAnsi="Times New Roman" w:cs="Times New Roman"/>
                <w:noProof/>
                <w:sz w:val="20"/>
                <w:szCs w:val="20"/>
              </w:rPr>
              <w:t>…</w:t>
            </w:r>
            <w:proofErr w:type="gramEnd"/>
            <w:r w:rsidR="00555B2A">
              <w:rPr>
                <w:rFonts w:ascii="Times New Roman" w:eastAsia="Times New Roman" w:hAnsi="Times New Roman" w:cs="Times New Roman"/>
                <w:noProof/>
                <w:sz w:val="20"/>
                <w:szCs w:val="20"/>
              </w:rPr>
              <w:t>…</w:t>
            </w:r>
          </w:p>
          <w:p w14:paraId="00CEA877" w14:textId="77777777" w:rsidR="00AD5AC5" w:rsidRPr="00D01837" w:rsidRDefault="00AD5AC5" w:rsidP="00AD5AC5">
            <w:p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Dalsze informacje na temat systemu gwarantowania depozytów można uzyskać na stronie internetowej Bankowego Funduszu Gwarancyjnego: https://www.bfg.pl/.</w:t>
            </w:r>
          </w:p>
          <w:p w14:paraId="132180D3" w14:textId="77777777" w:rsidR="00AD5AC5" w:rsidRPr="00D01837" w:rsidRDefault="00AD5AC5" w:rsidP="00AD5AC5">
            <w:pPr>
              <w:widowControl w:val="0"/>
              <w:numPr>
                <w:ilvl w:val="0"/>
                <w:numId w:val="4"/>
              </w:numPr>
              <w:tabs>
                <w:tab w:val="left" w:pos="728"/>
              </w:tabs>
              <w:spacing w:before="144" w:after="0" w:line="240" w:lineRule="auto"/>
              <w:ind w:left="30"/>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Informacja zamieszczana w przypadku zawarcia umowy mieszkaniowego rachunku powierniczego z oddziałem instytucji kredytowej, o której mowa w art. 4 ust. 1 pkt 18 ustawy z dnia 29 sierpnia 1997 r. – Prawo bankowe (Dz. U. z 2020 r. poz. 1896, 2320 i 2419).</w:t>
            </w:r>
          </w:p>
          <w:p w14:paraId="0757DCD9" w14:textId="77777777" w:rsidR="00AD5AC5" w:rsidRPr="00D01837" w:rsidRDefault="00AD5AC5" w:rsidP="00AD5AC5">
            <w:pPr>
              <w:spacing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bl>
    <w:p w14:paraId="7698484B" w14:textId="77777777" w:rsidR="001A1D13" w:rsidRDefault="001A1D13">
      <w:pPr>
        <w:spacing w:before="144" w:after="144" w:line="240" w:lineRule="auto"/>
        <w:jc w:val="both"/>
        <w:rPr>
          <w:rFonts w:ascii="Times New Roman" w:eastAsia="Times New Roman" w:hAnsi="Times New Roman" w:cs="Times New Roman"/>
          <w:b/>
          <w:sz w:val="20"/>
          <w:szCs w:val="20"/>
        </w:rPr>
      </w:pPr>
    </w:p>
    <w:p w14:paraId="0F8DA6E1" w14:textId="77777777" w:rsidR="00FF62F4" w:rsidRDefault="00FF62F4">
      <w:pPr>
        <w:spacing w:before="144" w:after="144" w:line="240" w:lineRule="auto"/>
        <w:jc w:val="both"/>
        <w:rPr>
          <w:rFonts w:ascii="Times New Roman" w:eastAsia="Times New Roman" w:hAnsi="Times New Roman" w:cs="Times New Roman"/>
          <w:b/>
          <w:sz w:val="20"/>
          <w:szCs w:val="20"/>
        </w:rPr>
      </w:pPr>
    </w:p>
    <w:p w14:paraId="03655B79" w14:textId="77777777" w:rsidR="00FF62F4" w:rsidRDefault="00FF62F4">
      <w:pPr>
        <w:spacing w:before="144" w:after="144" w:line="240" w:lineRule="auto"/>
        <w:jc w:val="both"/>
        <w:rPr>
          <w:rFonts w:ascii="Times New Roman" w:eastAsia="Times New Roman" w:hAnsi="Times New Roman" w:cs="Times New Roman"/>
          <w:b/>
          <w:sz w:val="20"/>
          <w:szCs w:val="20"/>
        </w:rPr>
      </w:pPr>
    </w:p>
    <w:p w14:paraId="4B1A696B" w14:textId="77777777" w:rsidR="00C36D3E" w:rsidRPr="00D01837" w:rsidRDefault="00691959" w:rsidP="001A1D13">
      <w:pPr>
        <w:spacing w:before="144" w:after="144" w:line="240" w:lineRule="auto"/>
        <w:jc w:val="both"/>
        <w:rPr>
          <w:rFonts w:ascii="Times New Roman" w:eastAsia="Times New Roman" w:hAnsi="Times New Roman" w:cs="Times New Roman"/>
          <w:b/>
          <w:sz w:val="20"/>
          <w:szCs w:val="20"/>
        </w:rPr>
      </w:pPr>
      <w:r w:rsidRPr="001A1D13">
        <w:rPr>
          <w:rFonts w:ascii="Times New Roman" w:eastAsia="Times New Roman" w:hAnsi="Times New Roman" w:cs="Times New Roman"/>
          <w:b/>
          <w:sz w:val="20"/>
          <w:szCs w:val="20"/>
        </w:rPr>
        <w:lastRenderedPageBreak/>
        <w:t>CZĘŚĆ INDYWIDUALNA</w:t>
      </w:r>
      <w:r w:rsidR="001A1D13" w:rsidRPr="001A1D13">
        <w:rPr>
          <w:rFonts w:ascii="Times New Roman" w:eastAsia="Times New Roman" w:hAnsi="Times New Roman" w:cs="Times New Roman"/>
          <w:b/>
          <w:sz w:val="20"/>
          <w:szCs w:val="20"/>
        </w:rPr>
        <w:t xml:space="preserve"> </w:t>
      </w:r>
      <w:r w:rsidR="001A1D13" w:rsidRPr="001A1D13">
        <w:rPr>
          <w:rFonts w:ascii="Times New Roman" w:hAnsi="Times New Roman" w:cs="Times New Roman"/>
          <w:b/>
          <w:sz w:val="20"/>
          <w:szCs w:val="20"/>
        </w:rPr>
        <w:t>lokal nr XXX w budynku XXX, oznaczenia</w:t>
      </w:r>
    </w:p>
    <w:tbl>
      <w:tblPr>
        <w:tblStyle w:val="a3"/>
        <w:tblW w:w="90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1"/>
        <w:gridCol w:w="3069"/>
        <w:gridCol w:w="2904"/>
      </w:tblGrid>
      <w:tr w:rsidR="00D01837" w:rsidRPr="00D01837" w14:paraId="1D88A998" w14:textId="77777777">
        <w:tc>
          <w:tcPr>
            <w:tcW w:w="3071" w:type="dxa"/>
            <w:tcBorders>
              <w:bottom w:val="single" w:sz="4" w:space="0" w:color="000000"/>
            </w:tcBorders>
            <w:shd w:val="clear" w:color="auto" w:fill="F2F2F2"/>
          </w:tcPr>
          <w:p w14:paraId="4F4B1798" w14:textId="77777777" w:rsidR="00C36D3E" w:rsidRPr="00D01837" w:rsidRDefault="001A1D13">
            <w:pPr>
              <w:spacing w:before="144" w:after="144"/>
              <w:jc w:val="both"/>
            </w:pPr>
            <w:r>
              <w:t>Cena lokalu mieszkalnego wraz z pomieszczeniem przynależnym</w:t>
            </w:r>
          </w:p>
        </w:tc>
        <w:tc>
          <w:tcPr>
            <w:tcW w:w="5973" w:type="dxa"/>
            <w:gridSpan w:val="2"/>
          </w:tcPr>
          <w:p w14:paraId="0ED50760" w14:textId="77777777" w:rsidR="00C36D3E" w:rsidRPr="00D01837" w:rsidRDefault="00F05F3B" w:rsidP="00F05F3B">
            <w:pPr>
              <w:spacing w:before="144" w:after="144"/>
              <w:rPr>
                <w:b/>
              </w:rPr>
            </w:pPr>
            <w:r>
              <w:rPr>
                <w:bCs/>
              </w:rPr>
              <w:t>………………</w:t>
            </w:r>
            <w:r w:rsidR="001A1D13">
              <w:rPr>
                <w:bCs/>
              </w:rPr>
              <w:t>………………….</w:t>
            </w:r>
            <w:r>
              <w:rPr>
                <w:bCs/>
              </w:rPr>
              <w:t>..</w:t>
            </w:r>
            <w:r w:rsidR="00E756E3" w:rsidRPr="00D01837">
              <w:rPr>
                <w:bCs/>
              </w:rPr>
              <w:t xml:space="preserve"> zł brutto</w:t>
            </w:r>
          </w:p>
        </w:tc>
      </w:tr>
      <w:tr w:rsidR="00D01837" w:rsidRPr="00D01837" w14:paraId="47DF28AA" w14:textId="77777777">
        <w:tc>
          <w:tcPr>
            <w:tcW w:w="3071" w:type="dxa"/>
            <w:tcBorders>
              <w:bottom w:val="single" w:sz="4" w:space="0" w:color="000000"/>
            </w:tcBorders>
            <w:shd w:val="clear" w:color="auto" w:fill="F2F2F2"/>
          </w:tcPr>
          <w:p w14:paraId="1EDEFD25" w14:textId="77777777" w:rsidR="00C36D3E" w:rsidRPr="00D01837" w:rsidRDefault="001A1D13">
            <w:pPr>
              <w:spacing w:before="144" w:after="144"/>
              <w:jc w:val="both"/>
            </w:pPr>
            <w:r>
              <w:t>Powierzchnia użytkowa lokalu mieszkalnego wraz z pomieszczeniem przynależnym</w:t>
            </w:r>
          </w:p>
        </w:tc>
        <w:tc>
          <w:tcPr>
            <w:tcW w:w="5973" w:type="dxa"/>
            <w:gridSpan w:val="2"/>
          </w:tcPr>
          <w:p w14:paraId="6BA22E82" w14:textId="77777777" w:rsidR="00C36D3E" w:rsidRPr="00D01837" w:rsidRDefault="00F05F3B" w:rsidP="001A1D13">
            <w:pPr>
              <w:spacing w:before="144" w:after="144"/>
              <w:rPr>
                <w:b/>
              </w:rPr>
            </w:pPr>
            <w:r>
              <w:t>…………</w:t>
            </w:r>
            <w:r w:rsidR="001A1D13">
              <w:t>………………..</w:t>
            </w:r>
            <w:r>
              <w:t>……..</w:t>
            </w:r>
            <w:r w:rsidR="00E756E3" w:rsidRPr="00D01837">
              <w:t xml:space="preserve"> m2 </w:t>
            </w:r>
          </w:p>
        </w:tc>
      </w:tr>
      <w:tr w:rsidR="00D01837" w:rsidRPr="00D01837" w14:paraId="5C7D4ECE" w14:textId="77777777">
        <w:tc>
          <w:tcPr>
            <w:tcW w:w="3071" w:type="dxa"/>
            <w:tcBorders>
              <w:bottom w:val="single" w:sz="4" w:space="0" w:color="000000"/>
            </w:tcBorders>
            <w:shd w:val="clear" w:color="auto" w:fill="F2F2F2"/>
          </w:tcPr>
          <w:p w14:paraId="5727C9EA" w14:textId="77777777" w:rsidR="00C36D3E" w:rsidRPr="00D01837" w:rsidRDefault="001A1D13">
            <w:pPr>
              <w:spacing w:before="144" w:after="144"/>
              <w:jc w:val="both"/>
            </w:pPr>
            <w:r>
              <w:t>Cena m2 powierzchni użytkowej lokalu mieszkalnego wraz z pomieszczeniem przynależnym</w:t>
            </w:r>
          </w:p>
        </w:tc>
        <w:tc>
          <w:tcPr>
            <w:tcW w:w="5973" w:type="dxa"/>
            <w:gridSpan w:val="2"/>
          </w:tcPr>
          <w:p w14:paraId="2C79ECC7" w14:textId="77777777" w:rsidR="00C36D3E" w:rsidRPr="00D01837" w:rsidRDefault="008C603F" w:rsidP="001A1D13">
            <w:pPr>
              <w:spacing w:before="144" w:after="144"/>
              <w:rPr>
                <w:b/>
              </w:rPr>
            </w:pPr>
            <w:r w:rsidRPr="00D01837">
              <w:rPr>
                <w:bCs/>
              </w:rPr>
              <w:t>…………</w:t>
            </w:r>
            <w:r w:rsidR="001A1D13">
              <w:rPr>
                <w:bCs/>
              </w:rPr>
              <w:t>……………….</w:t>
            </w:r>
            <w:r w:rsidRPr="00D01837">
              <w:rPr>
                <w:bCs/>
              </w:rPr>
              <w:t>…….</w:t>
            </w:r>
            <w:r w:rsidR="00E756E3" w:rsidRPr="00D01837">
              <w:rPr>
                <w:bCs/>
              </w:rPr>
              <w:t xml:space="preserve"> zł </w:t>
            </w:r>
            <w:r w:rsidR="004877A2">
              <w:rPr>
                <w:bCs/>
              </w:rPr>
              <w:t xml:space="preserve">/ </w:t>
            </w:r>
            <w:r w:rsidR="00E756E3" w:rsidRPr="00D01837">
              <w:rPr>
                <w:bCs/>
              </w:rPr>
              <w:t xml:space="preserve">m2 </w:t>
            </w:r>
          </w:p>
        </w:tc>
      </w:tr>
      <w:tr w:rsidR="00D01837" w:rsidRPr="00D01837" w14:paraId="2F3EEFBB" w14:textId="77777777">
        <w:tc>
          <w:tcPr>
            <w:tcW w:w="3071" w:type="dxa"/>
            <w:tcBorders>
              <w:bottom w:val="single" w:sz="4" w:space="0" w:color="000000"/>
            </w:tcBorders>
            <w:shd w:val="clear" w:color="auto" w:fill="F2F2F2"/>
          </w:tcPr>
          <w:p w14:paraId="4E451DBC" w14:textId="77777777" w:rsidR="00C36D3E" w:rsidRPr="00D01837" w:rsidRDefault="001A1D13">
            <w:pPr>
              <w:spacing w:before="144" w:after="144"/>
              <w:jc w:val="both"/>
            </w:pPr>
            <w:r>
              <w:t>Termin, do którego nastąpi przeniesienie prawa własności nieruchomości wynikającego z umowy deweloperskiej</w:t>
            </w:r>
          </w:p>
        </w:tc>
        <w:tc>
          <w:tcPr>
            <w:tcW w:w="5973" w:type="dxa"/>
            <w:gridSpan w:val="2"/>
          </w:tcPr>
          <w:p w14:paraId="4C929A86" w14:textId="75941E8A" w:rsidR="00C36D3E" w:rsidRPr="00D01837" w:rsidRDefault="00A80C39">
            <w:pPr>
              <w:spacing w:before="144" w:after="144"/>
              <w:rPr>
                <w:bCs/>
              </w:rPr>
            </w:pPr>
            <w:r>
              <w:rPr>
                <w:color w:val="00B050"/>
              </w:rPr>
              <w:t>Do 3</w:t>
            </w:r>
            <w:r w:rsidR="00FF62F4">
              <w:rPr>
                <w:color w:val="00B050"/>
              </w:rPr>
              <w:t>0</w:t>
            </w:r>
            <w:r>
              <w:rPr>
                <w:color w:val="00B050"/>
              </w:rPr>
              <w:t>.0</w:t>
            </w:r>
            <w:r w:rsidR="00FF62F4">
              <w:rPr>
                <w:color w:val="00B050"/>
              </w:rPr>
              <w:t>6</w:t>
            </w:r>
            <w:r>
              <w:rPr>
                <w:color w:val="00B050"/>
              </w:rPr>
              <w:t>.2026 r</w:t>
            </w:r>
            <w:r w:rsidRPr="00592471">
              <w:rPr>
                <w:color w:val="00B050"/>
              </w:rPr>
              <w:t>.</w:t>
            </w:r>
          </w:p>
        </w:tc>
      </w:tr>
      <w:tr w:rsidR="00525747" w:rsidRPr="00D01837" w14:paraId="0FF08A25" w14:textId="77777777" w:rsidTr="001027BC">
        <w:tc>
          <w:tcPr>
            <w:tcW w:w="3071" w:type="dxa"/>
            <w:tcBorders>
              <w:bottom w:val="nil"/>
            </w:tcBorders>
            <w:shd w:val="clear" w:color="auto" w:fill="F2F2F2"/>
          </w:tcPr>
          <w:p w14:paraId="1C7FA5BD" w14:textId="77777777" w:rsidR="00525747" w:rsidRPr="00D01837" w:rsidRDefault="00525747">
            <w:pPr>
              <w:spacing w:before="144" w:after="144"/>
              <w:jc w:val="both"/>
            </w:pPr>
            <w:r>
              <w:t>Określenie położenia oraz istotnych cech budynku, w którym ma znajdować się lokal mieszkalny będący przedmiotem umowy rezerwacyjnej albo umowy deweloperskiej</w:t>
            </w:r>
          </w:p>
        </w:tc>
        <w:tc>
          <w:tcPr>
            <w:tcW w:w="5973" w:type="dxa"/>
            <w:gridSpan w:val="2"/>
            <w:vMerge w:val="restart"/>
          </w:tcPr>
          <w:p w14:paraId="6805FE1A" w14:textId="77777777" w:rsidR="00525747" w:rsidRDefault="00525747" w:rsidP="00525747">
            <w:r>
              <w:t xml:space="preserve">Liczba kondygnacji: </w:t>
            </w:r>
          </w:p>
          <w:p w14:paraId="48F21F5C" w14:textId="77777777" w:rsidR="00525747" w:rsidRDefault="00525747" w:rsidP="00525747">
            <w:r>
              <w:t xml:space="preserve">Nadziemne: </w:t>
            </w:r>
            <w:r w:rsidR="008E77E1" w:rsidRPr="008E77E1">
              <w:rPr>
                <w:color w:val="000000" w:themeColor="text1"/>
              </w:rPr>
              <w:t>2</w:t>
            </w:r>
            <w:r>
              <w:t xml:space="preserve"> </w:t>
            </w:r>
          </w:p>
          <w:p w14:paraId="0BA9E631" w14:textId="77777777" w:rsidR="00525747" w:rsidRPr="00D01837" w:rsidRDefault="00525747" w:rsidP="00525747">
            <w:pPr>
              <w:rPr>
                <w:bCs/>
              </w:rPr>
            </w:pPr>
            <w:r>
              <w:t>Podziemne: 0</w:t>
            </w:r>
          </w:p>
        </w:tc>
      </w:tr>
      <w:tr w:rsidR="00525747" w:rsidRPr="00D01837" w14:paraId="2CED6908" w14:textId="77777777" w:rsidTr="00FF62F4">
        <w:trPr>
          <w:trHeight w:val="320"/>
        </w:trPr>
        <w:tc>
          <w:tcPr>
            <w:tcW w:w="3071" w:type="dxa"/>
            <w:tcBorders>
              <w:top w:val="nil"/>
              <w:bottom w:val="nil"/>
            </w:tcBorders>
            <w:shd w:val="clear" w:color="auto" w:fill="F2F2F2"/>
          </w:tcPr>
          <w:p w14:paraId="19F06497" w14:textId="77777777" w:rsidR="00525747" w:rsidRPr="00D01837" w:rsidRDefault="00525747">
            <w:pPr>
              <w:spacing w:before="144" w:after="144"/>
              <w:rPr>
                <w:b/>
              </w:rPr>
            </w:pPr>
          </w:p>
        </w:tc>
        <w:tc>
          <w:tcPr>
            <w:tcW w:w="5973" w:type="dxa"/>
            <w:gridSpan w:val="2"/>
            <w:vMerge/>
          </w:tcPr>
          <w:p w14:paraId="364FC2B5" w14:textId="77777777" w:rsidR="00525747" w:rsidRPr="00D01837" w:rsidRDefault="00525747">
            <w:pPr>
              <w:widowControl w:val="0"/>
              <w:pBdr>
                <w:top w:val="nil"/>
                <w:left w:val="nil"/>
                <w:bottom w:val="nil"/>
                <w:right w:val="nil"/>
                <w:between w:val="nil"/>
              </w:pBdr>
              <w:spacing w:line="276" w:lineRule="auto"/>
              <w:rPr>
                <w:b/>
              </w:rPr>
            </w:pPr>
          </w:p>
        </w:tc>
      </w:tr>
      <w:tr w:rsidR="00525747" w:rsidRPr="00D01837" w14:paraId="3747AC0A" w14:textId="77777777" w:rsidTr="001027BC">
        <w:trPr>
          <w:trHeight w:val="1126"/>
        </w:trPr>
        <w:tc>
          <w:tcPr>
            <w:tcW w:w="3071" w:type="dxa"/>
            <w:tcBorders>
              <w:top w:val="nil"/>
              <w:bottom w:val="single" w:sz="4" w:space="0" w:color="000000"/>
            </w:tcBorders>
            <w:shd w:val="clear" w:color="auto" w:fill="F2F2F2"/>
          </w:tcPr>
          <w:p w14:paraId="2AE31221" w14:textId="77777777" w:rsidR="00525747" w:rsidRPr="00D01837" w:rsidRDefault="00525747">
            <w:pPr>
              <w:spacing w:before="144" w:after="144"/>
              <w:rPr>
                <w:b/>
              </w:rPr>
            </w:pPr>
          </w:p>
        </w:tc>
        <w:tc>
          <w:tcPr>
            <w:tcW w:w="5973" w:type="dxa"/>
            <w:gridSpan w:val="2"/>
          </w:tcPr>
          <w:p w14:paraId="643B34A2" w14:textId="77777777" w:rsidR="00525747" w:rsidRPr="00D01837" w:rsidRDefault="00525747">
            <w:pPr>
              <w:spacing w:before="144" w:after="144"/>
            </w:pPr>
            <w:r w:rsidRPr="00D01837">
              <w:t>Technologia wykonania</w:t>
            </w:r>
            <w:r>
              <w:t>:</w:t>
            </w:r>
            <w:r w:rsidRPr="00D01837">
              <w:t xml:space="preserve"> </w:t>
            </w:r>
          </w:p>
          <w:p w14:paraId="4E5F10FA" w14:textId="77777777" w:rsidR="00525747" w:rsidRDefault="00525747">
            <w:pPr>
              <w:spacing w:before="144" w:after="144"/>
              <w:rPr>
                <w:bCs/>
              </w:rPr>
            </w:pPr>
            <w:r w:rsidRPr="00D01837">
              <w:rPr>
                <w:bCs/>
              </w:rPr>
              <w:t>technologia murowana (tradycyjna)</w:t>
            </w:r>
          </w:p>
          <w:p w14:paraId="301B36C4" w14:textId="77777777" w:rsidR="00525747" w:rsidRDefault="00525747" w:rsidP="00101BC1">
            <w:pPr>
              <w:spacing w:before="144" w:after="144"/>
              <w:rPr>
                <w:bCs/>
              </w:rPr>
            </w:pPr>
            <w:r w:rsidRPr="00101BC1">
              <w:rPr>
                <w:bCs/>
              </w:rPr>
              <w:t xml:space="preserve">- ściany fundamentowe murowane z bloczków betonowych, </w:t>
            </w:r>
            <w:r>
              <w:rPr>
                <w:bCs/>
              </w:rPr>
              <w:t>ściany nośne</w:t>
            </w:r>
            <w:r w:rsidR="008E77E1">
              <w:rPr>
                <w:bCs/>
              </w:rPr>
              <w:t xml:space="preserve"> </w:t>
            </w:r>
            <w:proofErr w:type="spellStart"/>
            <w:r w:rsidR="008E77E1">
              <w:rPr>
                <w:bCs/>
              </w:rPr>
              <w:t>porotherm</w:t>
            </w:r>
            <w:proofErr w:type="spellEnd"/>
            <w:r w:rsidR="008E77E1">
              <w:rPr>
                <w:bCs/>
              </w:rPr>
              <w:t>/H+H/</w:t>
            </w:r>
            <w:proofErr w:type="spellStart"/>
            <w:r w:rsidR="008E77E1">
              <w:rPr>
                <w:bCs/>
              </w:rPr>
              <w:t>silka</w:t>
            </w:r>
            <w:proofErr w:type="spellEnd"/>
            <w:r>
              <w:rPr>
                <w:bCs/>
              </w:rPr>
              <w:t xml:space="preserve"> – pustak, działowe – </w:t>
            </w:r>
            <w:proofErr w:type="spellStart"/>
            <w:r>
              <w:rPr>
                <w:bCs/>
              </w:rPr>
              <w:t>siporex</w:t>
            </w:r>
            <w:proofErr w:type="spellEnd"/>
          </w:p>
          <w:p w14:paraId="1F10BEEB" w14:textId="77777777" w:rsidR="00525747" w:rsidRPr="00101BC1" w:rsidRDefault="00525747" w:rsidP="00101BC1">
            <w:pPr>
              <w:spacing w:before="144" w:after="144"/>
              <w:rPr>
                <w:bCs/>
              </w:rPr>
            </w:pPr>
            <w:r w:rsidRPr="00101BC1">
              <w:rPr>
                <w:bCs/>
              </w:rPr>
              <w:t xml:space="preserve">- otwory okienne i drzwiowe: drzwi wejściowe antywłamaniowe, okna PCV 3 szybowe, </w:t>
            </w:r>
          </w:p>
          <w:p w14:paraId="6078FC4F" w14:textId="77777777" w:rsidR="00525747" w:rsidRPr="00101BC1" w:rsidRDefault="00525747" w:rsidP="00101BC1">
            <w:pPr>
              <w:spacing w:before="144" w:after="144"/>
              <w:rPr>
                <w:bCs/>
              </w:rPr>
            </w:pPr>
            <w:r w:rsidRPr="00101BC1">
              <w:rPr>
                <w:bCs/>
              </w:rPr>
              <w:t xml:space="preserve">- ocieplenie budynku: styropian grubość - </w:t>
            </w:r>
            <w:r>
              <w:rPr>
                <w:bCs/>
              </w:rPr>
              <w:t>20</w:t>
            </w:r>
            <w:r w:rsidRPr="00101BC1">
              <w:rPr>
                <w:bCs/>
              </w:rPr>
              <w:t xml:space="preserve"> cm. EPS 03</w:t>
            </w:r>
            <w:r w:rsidR="008E77E1">
              <w:rPr>
                <w:bCs/>
              </w:rPr>
              <w:t>3</w:t>
            </w:r>
            <w:r w:rsidRPr="00101BC1">
              <w:rPr>
                <w:bCs/>
              </w:rPr>
              <w:t>, tynki zewnętrzne silikon</w:t>
            </w:r>
            <w:r>
              <w:rPr>
                <w:bCs/>
              </w:rPr>
              <w:t>owe/</w:t>
            </w:r>
            <w:proofErr w:type="spellStart"/>
            <w:r>
              <w:rPr>
                <w:bCs/>
              </w:rPr>
              <w:t>silkatowe</w:t>
            </w:r>
            <w:proofErr w:type="spellEnd"/>
            <w:r>
              <w:rPr>
                <w:bCs/>
              </w:rPr>
              <w:t xml:space="preserve">, tynk mozaikowy, </w:t>
            </w:r>
          </w:p>
          <w:p w14:paraId="1C7452B8" w14:textId="77777777" w:rsidR="00525747" w:rsidRPr="00101BC1" w:rsidRDefault="00525747" w:rsidP="00101BC1">
            <w:pPr>
              <w:spacing w:before="144" w:after="144"/>
              <w:rPr>
                <w:bCs/>
              </w:rPr>
            </w:pPr>
            <w:r w:rsidRPr="00101BC1">
              <w:rPr>
                <w:bCs/>
              </w:rPr>
              <w:t xml:space="preserve">- centralne ogrzewanie: piec </w:t>
            </w:r>
            <w:proofErr w:type="spellStart"/>
            <w:r w:rsidRPr="00101BC1">
              <w:rPr>
                <w:bCs/>
              </w:rPr>
              <w:t>kondesacyjny</w:t>
            </w:r>
            <w:proofErr w:type="spellEnd"/>
            <w:r w:rsidRPr="00101BC1">
              <w:rPr>
                <w:bCs/>
              </w:rPr>
              <w:t xml:space="preserve">, instalacja ogrzewania rozprowadzona na parterze, piętrze, </w:t>
            </w:r>
          </w:p>
          <w:p w14:paraId="35962586" w14:textId="77777777" w:rsidR="00525747" w:rsidRPr="00101BC1" w:rsidRDefault="00525747" w:rsidP="00101BC1">
            <w:pPr>
              <w:spacing w:before="144" w:after="144"/>
              <w:rPr>
                <w:bCs/>
              </w:rPr>
            </w:pPr>
            <w:r w:rsidRPr="00101BC1">
              <w:rPr>
                <w:bCs/>
              </w:rPr>
              <w:t xml:space="preserve">- tynki wewnętrzne gipsowe, </w:t>
            </w:r>
          </w:p>
          <w:p w14:paraId="5C2A66DC" w14:textId="77777777" w:rsidR="00525747" w:rsidRPr="00101BC1" w:rsidRDefault="00525747" w:rsidP="00101BC1">
            <w:pPr>
              <w:spacing w:before="144" w:after="144"/>
              <w:rPr>
                <w:bCs/>
              </w:rPr>
            </w:pPr>
            <w:r w:rsidRPr="00101BC1">
              <w:rPr>
                <w:bCs/>
              </w:rPr>
              <w:t>- wylewki wewnętrzne: posadzki anhydrytowe</w:t>
            </w:r>
            <w:r w:rsidR="008E77E1">
              <w:rPr>
                <w:bCs/>
              </w:rPr>
              <w:t>/betonowe</w:t>
            </w:r>
            <w:r w:rsidRPr="00101BC1">
              <w:rPr>
                <w:bCs/>
              </w:rPr>
              <w:t xml:space="preserve">, </w:t>
            </w:r>
          </w:p>
          <w:p w14:paraId="61B8F650" w14:textId="77777777" w:rsidR="00525747" w:rsidRPr="00101BC1" w:rsidRDefault="00525747" w:rsidP="00101BC1">
            <w:pPr>
              <w:spacing w:before="144" w:after="144"/>
              <w:rPr>
                <w:bCs/>
              </w:rPr>
            </w:pPr>
            <w:r w:rsidRPr="00101BC1">
              <w:rPr>
                <w:bCs/>
              </w:rPr>
              <w:t>- dach: blacha na rąbek, orynnowanie z blachy, wełna 15 cm</w:t>
            </w:r>
            <w:r w:rsidR="00685858">
              <w:rPr>
                <w:bCs/>
              </w:rPr>
              <w:t>/piana</w:t>
            </w:r>
            <w:r w:rsidRPr="00101BC1">
              <w:rPr>
                <w:bCs/>
              </w:rPr>
              <w:t xml:space="preserve">, </w:t>
            </w:r>
          </w:p>
          <w:p w14:paraId="0FCE4696" w14:textId="77777777" w:rsidR="00525747" w:rsidRPr="00101BC1" w:rsidRDefault="00525747" w:rsidP="00101BC1">
            <w:pPr>
              <w:spacing w:before="144" w:after="144"/>
              <w:rPr>
                <w:bCs/>
              </w:rPr>
            </w:pPr>
            <w:r w:rsidRPr="00101BC1">
              <w:rPr>
                <w:bCs/>
              </w:rPr>
              <w:t xml:space="preserve">- ogrodzenie: brama i furtka wspólna od ulicy </w:t>
            </w:r>
            <w:r w:rsidR="00685858">
              <w:rPr>
                <w:bCs/>
              </w:rPr>
              <w:t>Mickiewicza</w:t>
            </w:r>
            <w:r w:rsidRPr="00101BC1">
              <w:rPr>
                <w:bCs/>
              </w:rPr>
              <w:t>, wykonane odgrodzenie tylne i boczne budynków (wydzielenie ogródków</w:t>
            </w:r>
            <w:r w:rsidR="00685858">
              <w:rPr>
                <w:bCs/>
              </w:rPr>
              <w:t xml:space="preserve"> bez furtek</w:t>
            </w:r>
            <w:r w:rsidRPr="00101BC1">
              <w:rPr>
                <w:bCs/>
              </w:rPr>
              <w:t xml:space="preserve">), </w:t>
            </w:r>
          </w:p>
          <w:p w14:paraId="7776B511" w14:textId="77777777" w:rsidR="00525747" w:rsidRPr="00101BC1" w:rsidRDefault="00525747" w:rsidP="00101BC1">
            <w:pPr>
              <w:spacing w:before="144" w:after="144"/>
              <w:rPr>
                <w:bCs/>
              </w:rPr>
            </w:pPr>
            <w:r w:rsidRPr="00101BC1">
              <w:rPr>
                <w:bCs/>
              </w:rPr>
              <w:t xml:space="preserve">- okablowanie: elektryczne, domofonowe, alarmowe, antenowe, </w:t>
            </w:r>
            <w:r w:rsidR="00685858">
              <w:rPr>
                <w:bCs/>
              </w:rPr>
              <w:t>domofon</w:t>
            </w:r>
            <w:r w:rsidRPr="00101BC1">
              <w:rPr>
                <w:bCs/>
              </w:rPr>
              <w:t>, (</w:t>
            </w:r>
            <w:r w:rsidR="00685858">
              <w:rPr>
                <w:bCs/>
              </w:rPr>
              <w:t xml:space="preserve">przygotowanie instalacji </w:t>
            </w:r>
            <w:r w:rsidR="00685858" w:rsidRPr="00101BC1">
              <w:rPr>
                <w:bCs/>
              </w:rPr>
              <w:t>światłowodow</w:t>
            </w:r>
            <w:r w:rsidR="00685858">
              <w:rPr>
                <w:bCs/>
              </w:rPr>
              <w:t>ej</w:t>
            </w:r>
            <w:r w:rsidRPr="00101BC1">
              <w:rPr>
                <w:bCs/>
              </w:rPr>
              <w:t xml:space="preserve">), </w:t>
            </w:r>
          </w:p>
          <w:p w14:paraId="200D3F72" w14:textId="77777777" w:rsidR="00525747" w:rsidRPr="00D01837" w:rsidRDefault="00525747" w:rsidP="00685858">
            <w:pPr>
              <w:spacing w:before="144" w:after="144"/>
              <w:rPr>
                <w:bCs/>
              </w:rPr>
            </w:pPr>
            <w:r w:rsidRPr="00101BC1">
              <w:rPr>
                <w:bCs/>
              </w:rPr>
              <w:t>- podjazd i wejście: urządzony dojazd do miejsc postojowych, chodnik, schody zewnętrzne wykonane z kostki brukowej, - wykonane instalacje wodne, elektryczne, gazowe, wentylacyjne, centralnego ogrzewania i kanalizacyjne, or</w:t>
            </w:r>
            <w:r w:rsidR="00685858">
              <w:rPr>
                <w:bCs/>
              </w:rPr>
              <w:t>urowanie do klimatyzacji (pokój dzienny</w:t>
            </w:r>
            <w:r w:rsidRPr="00101BC1">
              <w:rPr>
                <w:bCs/>
              </w:rPr>
              <w:t xml:space="preserve">); </w:t>
            </w:r>
          </w:p>
        </w:tc>
      </w:tr>
      <w:tr w:rsidR="00D01837" w:rsidRPr="00D01837" w14:paraId="73C20E93" w14:textId="77777777">
        <w:tc>
          <w:tcPr>
            <w:tcW w:w="3071" w:type="dxa"/>
            <w:tcBorders>
              <w:top w:val="single" w:sz="4" w:space="0" w:color="000000"/>
              <w:bottom w:val="nil"/>
            </w:tcBorders>
            <w:shd w:val="clear" w:color="auto" w:fill="F2F2F2"/>
          </w:tcPr>
          <w:p w14:paraId="539FDB3E" w14:textId="77777777" w:rsidR="00C36D3E" w:rsidRPr="00D01837" w:rsidRDefault="00C36D3E">
            <w:pPr>
              <w:spacing w:before="144" w:after="144"/>
              <w:rPr>
                <w:b/>
              </w:rPr>
            </w:pPr>
          </w:p>
        </w:tc>
        <w:tc>
          <w:tcPr>
            <w:tcW w:w="3069" w:type="dxa"/>
          </w:tcPr>
          <w:p w14:paraId="36AAAAAC" w14:textId="77777777" w:rsidR="00C36D3E" w:rsidRPr="00D01837" w:rsidRDefault="00691959">
            <w:pPr>
              <w:spacing w:before="144" w:after="144"/>
            </w:pPr>
            <w:r w:rsidRPr="00D01837">
              <w:t>Standard prac wykończeniowych w części wspólnej budynku i terenie wokół niego, stanowiącym część wspólną nieruchomości</w:t>
            </w:r>
          </w:p>
        </w:tc>
        <w:tc>
          <w:tcPr>
            <w:tcW w:w="2904" w:type="dxa"/>
          </w:tcPr>
          <w:p w14:paraId="4C625775" w14:textId="77777777" w:rsidR="00C36D3E" w:rsidRPr="00D01837" w:rsidRDefault="00A56D17" w:rsidP="00685858">
            <w:pPr>
              <w:spacing w:before="144" w:after="144"/>
              <w:rPr>
                <w:bCs/>
              </w:rPr>
            </w:pPr>
            <w:r w:rsidRPr="00D01837">
              <w:rPr>
                <w:bCs/>
              </w:rPr>
              <w:t xml:space="preserve">elewacje – tynk </w:t>
            </w:r>
            <w:r w:rsidR="00490F49" w:rsidRPr="00D01837">
              <w:rPr>
                <w:bCs/>
              </w:rPr>
              <w:t>silikonowy</w:t>
            </w:r>
            <w:r w:rsidRPr="00D01837">
              <w:rPr>
                <w:bCs/>
              </w:rPr>
              <w:t xml:space="preserve"> na podłożu ze styropianu grubości </w:t>
            </w:r>
            <w:r w:rsidR="00685858">
              <w:rPr>
                <w:bCs/>
              </w:rPr>
              <w:t>20</w:t>
            </w:r>
            <w:r w:rsidRPr="00D01837">
              <w:rPr>
                <w:bCs/>
              </w:rPr>
              <w:t xml:space="preserve"> centymetrów</w:t>
            </w:r>
            <w:r w:rsidR="00490F49" w:rsidRPr="00D01837">
              <w:rPr>
                <w:bCs/>
              </w:rPr>
              <w:t xml:space="preserve"> (EPS 3</w:t>
            </w:r>
            <w:r w:rsidR="00685858">
              <w:rPr>
                <w:bCs/>
              </w:rPr>
              <w:t>3</w:t>
            </w:r>
            <w:r w:rsidR="00490F49" w:rsidRPr="00D01837">
              <w:rPr>
                <w:bCs/>
              </w:rPr>
              <w:t>)</w:t>
            </w:r>
            <w:r w:rsidRPr="00D01837">
              <w:rPr>
                <w:bCs/>
              </w:rPr>
              <w:t>, dach</w:t>
            </w:r>
            <w:r w:rsidR="00490F49" w:rsidRPr="00D01837">
              <w:rPr>
                <w:bCs/>
              </w:rPr>
              <w:t xml:space="preserve"> blacha na rąbek.</w:t>
            </w:r>
            <w:r w:rsidRPr="00D01837">
              <w:rPr>
                <w:bCs/>
              </w:rPr>
              <w:t xml:space="preserve"> Teren wokół budynków będzie ogrodzony i oświetlony, chodniki, dojścia, wjazd będą wykonane z kostki brukowej, brama sterowana pilotami, a pozostała część terenu – ogródki.</w:t>
            </w:r>
          </w:p>
        </w:tc>
      </w:tr>
      <w:tr w:rsidR="00D01837" w:rsidRPr="00D01837" w14:paraId="3A26EA48" w14:textId="77777777">
        <w:tc>
          <w:tcPr>
            <w:tcW w:w="3071" w:type="dxa"/>
            <w:tcBorders>
              <w:top w:val="nil"/>
              <w:bottom w:val="nil"/>
            </w:tcBorders>
            <w:shd w:val="clear" w:color="auto" w:fill="F2F2F2"/>
          </w:tcPr>
          <w:p w14:paraId="76B60CE5" w14:textId="77777777" w:rsidR="00C36D3E" w:rsidRPr="00D01837" w:rsidRDefault="00C36D3E">
            <w:pPr>
              <w:spacing w:before="144" w:after="144"/>
              <w:rPr>
                <w:b/>
              </w:rPr>
            </w:pPr>
          </w:p>
        </w:tc>
        <w:tc>
          <w:tcPr>
            <w:tcW w:w="3069" w:type="dxa"/>
          </w:tcPr>
          <w:p w14:paraId="411991D2" w14:textId="77777777" w:rsidR="00C36D3E" w:rsidRPr="00D01837" w:rsidRDefault="00691959">
            <w:pPr>
              <w:spacing w:before="144" w:after="144"/>
            </w:pPr>
            <w:r w:rsidRPr="00D01837">
              <w:t>Liczba lokali w budynku</w:t>
            </w:r>
          </w:p>
        </w:tc>
        <w:tc>
          <w:tcPr>
            <w:tcW w:w="2904" w:type="dxa"/>
          </w:tcPr>
          <w:p w14:paraId="0CFBFD09" w14:textId="77777777" w:rsidR="00C36D3E" w:rsidRPr="00D01837" w:rsidRDefault="00B81897">
            <w:pPr>
              <w:spacing w:before="144" w:after="144"/>
              <w:rPr>
                <w:bCs/>
              </w:rPr>
            </w:pPr>
            <w:r w:rsidRPr="00D01837">
              <w:rPr>
                <w:bCs/>
              </w:rPr>
              <w:t>2</w:t>
            </w:r>
          </w:p>
        </w:tc>
      </w:tr>
      <w:tr w:rsidR="00D01837" w:rsidRPr="00D01837" w14:paraId="5042282D" w14:textId="77777777">
        <w:tc>
          <w:tcPr>
            <w:tcW w:w="3071" w:type="dxa"/>
            <w:tcBorders>
              <w:top w:val="nil"/>
              <w:bottom w:val="nil"/>
            </w:tcBorders>
            <w:shd w:val="clear" w:color="auto" w:fill="F2F2F2"/>
          </w:tcPr>
          <w:p w14:paraId="01F6A5D9" w14:textId="77777777" w:rsidR="00C36D3E" w:rsidRPr="00D01837" w:rsidRDefault="00C36D3E">
            <w:pPr>
              <w:spacing w:before="144" w:after="144"/>
              <w:rPr>
                <w:b/>
              </w:rPr>
            </w:pPr>
          </w:p>
        </w:tc>
        <w:tc>
          <w:tcPr>
            <w:tcW w:w="3069" w:type="dxa"/>
          </w:tcPr>
          <w:p w14:paraId="6E453991" w14:textId="77777777" w:rsidR="00C36D3E" w:rsidRPr="00D01837" w:rsidRDefault="00691959">
            <w:pPr>
              <w:spacing w:before="144" w:after="144"/>
            </w:pPr>
            <w:r w:rsidRPr="00D01837">
              <w:t>Liczba miejsc garażowych i postojowych</w:t>
            </w:r>
          </w:p>
        </w:tc>
        <w:tc>
          <w:tcPr>
            <w:tcW w:w="2904" w:type="dxa"/>
          </w:tcPr>
          <w:p w14:paraId="70BE514F" w14:textId="77777777" w:rsidR="00C36D3E" w:rsidRPr="00D01837" w:rsidRDefault="00B81897">
            <w:pPr>
              <w:spacing w:before="144" w:after="144"/>
              <w:rPr>
                <w:bCs/>
              </w:rPr>
            </w:pPr>
            <w:r w:rsidRPr="00D01837">
              <w:rPr>
                <w:bCs/>
              </w:rPr>
              <w:t>d</w:t>
            </w:r>
            <w:r w:rsidR="00FF4948" w:rsidRPr="00D01837">
              <w:rPr>
                <w:bCs/>
              </w:rPr>
              <w:t>wa miejsca postojowe przynależne do lokalu mieszkalnego</w:t>
            </w:r>
          </w:p>
        </w:tc>
      </w:tr>
      <w:tr w:rsidR="00D01837" w:rsidRPr="00D01837" w14:paraId="56F4B8F6" w14:textId="77777777">
        <w:tc>
          <w:tcPr>
            <w:tcW w:w="3071" w:type="dxa"/>
            <w:tcBorders>
              <w:top w:val="nil"/>
              <w:bottom w:val="nil"/>
            </w:tcBorders>
            <w:shd w:val="clear" w:color="auto" w:fill="F2F2F2"/>
          </w:tcPr>
          <w:p w14:paraId="150C3685" w14:textId="77777777" w:rsidR="00C36D3E" w:rsidRPr="00D01837" w:rsidRDefault="00C36D3E">
            <w:pPr>
              <w:spacing w:before="144" w:after="144"/>
              <w:rPr>
                <w:b/>
              </w:rPr>
            </w:pPr>
          </w:p>
        </w:tc>
        <w:tc>
          <w:tcPr>
            <w:tcW w:w="3069" w:type="dxa"/>
          </w:tcPr>
          <w:p w14:paraId="10943C93" w14:textId="77777777" w:rsidR="00C36D3E" w:rsidRPr="00D01837" w:rsidRDefault="00691959">
            <w:pPr>
              <w:spacing w:before="144" w:after="144"/>
            </w:pPr>
            <w:r w:rsidRPr="00D01837">
              <w:t>Dostępne media w budynku</w:t>
            </w:r>
          </w:p>
        </w:tc>
        <w:tc>
          <w:tcPr>
            <w:tcW w:w="2904" w:type="dxa"/>
          </w:tcPr>
          <w:p w14:paraId="21E485FB" w14:textId="77777777" w:rsidR="00C36D3E" w:rsidRPr="00D01837" w:rsidRDefault="000A2A7C">
            <w:pPr>
              <w:spacing w:before="144" w:after="144"/>
              <w:rPr>
                <w:bCs/>
              </w:rPr>
            </w:pPr>
            <w:r w:rsidRPr="00D01837">
              <w:t>prąd, woda, kanalizacja, gaz, instalacja internetowa</w:t>
            </w:r>
          </w:p>
        </w:tc>
      </w:tr>
      <w:tr w:rsidR="00D01837" w:rsidRPr="00D01837" w14:paraId="7A1CEC6D" w14:textId="77777777">
        <w:tc>
          <w:tcPr>
            <w:tcW w:w="3071" w:type="dxa"/>
            <w:tcBorders>
              <w:top w:val="nil"/>
              <w:bottom w:val="single" w:sz="4" w:space="0" w:color="000000"/>
            </w:tcBorders>
            <w:shd w:val="clear" w:color="auto" w:fill="F2F2F2"/>
          </w:tcPr>
          <w:p w14:paraId="056899DA" w14:textId="77777777" w:rsidR="00C36D3E" w:rsidRPr="00D01837" w:rsidRDefault="00C36D3E">
            <w:pPr>
              <w:spacing w:before="144" w:after="144"/>
              <w:rPr>
                <w:b/>
              </w:rPr>
            </w:pPr>
          </w:p>
        </w:tc>
        <w:tc>
          <w:tcPr>
            <w:tcW w:w="3069" w:type="dxa"/>
          </w:tcPr>
          <w:p w14:paraId="18E2E390" w14:textId="77777777" w:rsidR="00C36D3E" w:rsidRPr="00D01837" w:rsidRDefault="00691959">
            <w:pPr>
              <w:spacing w:before="144" w:after="144"/>
            </w:pPr>
            <w:r w:rsidRPr="00D01837">
              <w:t>Dostęp do drogi publicznej</w:t>
            </w:r>
          </w:p>
        </w:tc>
        <w:tc>
          <w:tcPr>
            <w:tcW w:w="2904" w:type="dxa"/>
          </w:tcPr>
          <w:p w14:paraId="5340DAF6" w14:textId="77777777" w:rsidR="00C36D3E" w:rsidRPr="00D01837" w:rsidRDefault="00EF6E59" w:rsidP="00525747">
            <w:pPr>
              <w:spacing w:before="144" w:after="144"/>
              <w:rPr>
                <w:bCs/>
              </w:rPr>
            </w:pPr>
            <w:r w:rsidRPr="00D01837">
              <w:rPr>
                <w:bCs/>
              </w:rPr>
              <w:t xml:space="preserve">bezpośredni do </w:t>
            </w:r>
            <w:r w:rsidR="00525747">
              <w:rPr>
                <w:bCs/>
              </w:rPr>
              <w:t>Mickiewicza</w:t>
            </w:r>
          </w:p>
        </w:tc>
      </w:tr>
      <w:tr w:rsidR="00D01837" w:rsidRPr="00D01837" w14:paraId="382D9CBA" w14:textId="77777777">
        <w:tc>
          <w:tcPr>
            <w:tcW w:w="3071" w:type="dxa"/>
            <w:tcBorders>
              <w:top w:val="single" w:sz="4" w:space="0" w:color="000000"/>
              <w:bottom w:val="single" w:sz="4" w:space="0" w:color="000000"/>
            </w:tcBorders>
            <w:shd w:val="clear" w:color="auto" w:fill="F2F2F2"/>
          </w:tcPr>
          <w:p w14:paraId="42A7025D" w14:textId="77777777" w:rsidR="00C36D3E" w:rsidRPr="00D01837" w:rsidRDefault="00F55626">
            <w:pPr>
              <w:spacing w:before="144" w:after="144"/>
              <w:jc w:val="both"/>
            </w:pPr>
            <w:r>
              <w:t>Określenie usytuowania lokalu mieszkalnego w budynku</w:t>
            </w:r>
          </w:p>
        </w:tc>
        <w:tc>
          <w:tcPr>
            <w:tcW w:w="5973" w:type="dxa"/>
            <w:gridSpan w:val="2"/>
          </w:tcPr>
          <w:p w14:paraId="1C1291DD" w14:textId="77777777" w:rsidR="00F55626" w:rsidRDefault="00F55626" w:rsidP="00525747">
            <w:pPr>
              <w:spacing w:before="144" w:after="144"/>
            </w:pPr>
            <w:r>
              <w:t xml:space="preserve">Lokal nr ………w budynku ………… </w:t>
            </w:r>
          </w:p>
          <w:p w14:paraId="0F728A3A" w14:textId="77777777" w:rsidR="00C36D3E" w:rsidRPr="00D01837" w:rsidRDefault="00F55626" w:rsidP="00525747">
            <w:pPr>
              <w:spacing w:before="144" w:after="144"/>
              <w:rPr>
                <w:bCs/>
              </w:rPr>
            </w:pPr>
            <w:r>
              <w:t xml:space="preserve">położony </w:t>
            </w:r>
            <w:proofErr w:type="gramStart"/>
            <w:r>
              <w:t>na….</w:t>
            </w:r>
            <w:proofErr w:type="gramEnd"/>
            <w:r>
              <w:t>. kondygnacji</w:t>
            </w:r>
          </w:p>
        </w:tc>
      </w:tr>
      <w:tr w:rsidR="00D01837" w:rsidRPr="00D01837" w14:paraId="7E515C20" w14:textId="77777777">
        <w:tc>
          <w:tcPr>
            <w:tcW w:w="3071" w:type="dxa"/>
            <w:tcBorders>
              <w:top w:val="single" w:sz="4" w:space="0" w:color="000000"/>
              <w:bottom w:val="single" w:sz="4" w:space="0" w:color="000000"/>
            </w:tcBorders>
            <w:shd w:val="clear" w:color="auto" w:fill="F2F2F2"/>
          </w:tcPr>
          <w:p w14:paraId="48E25440" w14:textId="77777777" w:rsidR="00C36D3E" w:rsidRPr="00D01837" w:rsidRDefault="00691959">
            <w:pPr>
              <w:spacing w:before="144" w:after="144"/>
              <w:jc w:val="both"/>
            </w:pPr>
            <w:r w:rsidRPr="00D01837">
              <w:t>Określenie powierzchni użytkowej i układu pomieszczeń oraz zakresu i standardu prac wykończeniowych, do których wykonania zobowiązuje się deweloper</w:t>
            </w:r>
          </w:p>
        </w:tc>
        <w:tc>
          <w:tcPr>
            <w:tcW w:w="5973" w:type="dxa"/>
            <w:gridSpan w:val="2"/>
          </w:tcPr>
          <w:p w14:paraId="2DC6FC6F" w14:textId="77777777" w:rsidR="00F55626" w:rsidRDefault="00525747" w:rsidP="00525747">
            <w:pPr>
              <w:spacing w:before="144" w:after="144"/>
            </w:pPr>
            <w:r>
              <w:t>Lokal nr …… w ……. o adresie 05-2</w:t>
            </w:r>
            <w:r w:rsidR="00F55626">
              <w:t>3</w:t>
            </w:r>
            <w:r>
              <w:t xml:space="preserve">0 </w:t>
            </w:r>
            <w:proofErr w:type="gramStart"/>
            <w:r>
              <w:t>Kobyłka  ul.</w:t>
            </w:r>
            <w:proofErr w:type="gramEnd"/>
            <w:r>
              <w:t xml:space="preserve"> Mickiewicza…… o powierzchni użytkowej ……. m2 na który składają się: </w:t>
            </w:r>
          </w:p>
          <w:p w14:paraId="45CEF85A" w14:textId="77777777" w:rsidR="00F55626" w:rsidRDefault="00525747" w:rsidP="00525747">
            <w:pPr>
              <w:spacing w:before="144" w:after="144"/>
            </w:pPr>
            <w:r>
              <w:t xml:space="preserve">parter- ……… </w:t>
            </w:r>
          </w:p>
          <w:p w14:paraId="301A8038" w14:textId="77777777" w:rsidR="00F55626" w:rsidRDefault="00525747" w:rsidP="00525747">
            <w:pPr>
              <w:spacing w:before="144" w:after="144"/>
            </w:pPr>
            <w:r>
              <w:t xml:space="preserve">pierwsze piętro- ………. </w:t>
            </w:r>
          </w:p>
          <w:p w14:paraId="03B5B0ED" w14:textId="77777777" w:rsidR="00525747" w:rsidRDefault="00525747" w:rsidP="00525747">
            <w:pPr>
              <w:spacing w:before="144" w:after="144"/>
            </w:pPr>
            <w:r>
              <w:t xml:space="preserve">poddasze-……………. </w:t>
            </w:r>
          </w:p>
          <w:p w14:paraId="6C5119A2" w14:textId="77777777" w:rsidR="00C36D3E" w:rsidRPr="00D01837" w:rsidRDefault="00525747" w:rsidP="00525747">
            <w:pPr>
              <w:spacing w:before="144" w:after="144"/>
              <w:rPr>
                <w:b/>
              </w:rPr>
            </w:pPr>
            <w:r>
              <w:t xml:space="preserve">Karta lokalu mieszkalnego oraz Standard wykończenia </w:t>
            </w:r>
            <w:proofErr w:type="gramStart"/>
            <w:r>
              <w:t>stanowi</w:t>
            </w:r>
            <w:proofErr w:type="gramEnd"/>
            <w:r>
              <w:t xml:space="preserve"> załącznik do Prospektu</w:t>
            </w:r>
          </w:p>
        </w:tc>
      </w:tr>
      <w:tr w:rsidR="00D01837" w:rsidRPr="00D01837" w14:paraId="688827F2" w14:textId="77777777">
        <w:trPr>
          <w:trHeight w:val="1035"/>
        </w:trPr>
        <w:tc>
          <w:tcPr>
            <w:tcW w:w="3071" w:type="dxa"/>
            <w:tcBorders>
              <w:top w:val="single" w:sz="4" w:space="0" w:color="000000"/>
              <w:bottom w:val="single" w:sz="4" w:space="0" w:color="000000"/>
            </w:tcBorders>
            <w:shd w:val="clear" w:color="auto" w:fill="F2F2F2"/>
          </w:tcPr>
          <w:p w14:paraId="124836A2" w14:textId="77777777" w:rsidR="00C36D3E" w:rsidRPr="00D01837" w:rsidRDefault="00691959">
            <w:pPr>
              <w:widowControl w:val="0"/>
              <w:spacing w:before="144" w:after="144"/>
            </w:pPr>
            <w:r w:rsidRPr="00D01837">
              <w:t>Data wydania zaświadczenia o samodzielności lokalu mieszkalnego</w:t>
            </w:r>
          </w:p>
        </w:tc>
        <w:tc>
          <w:tcPr>
            <w:tcW w:w="5973" w:type="dxa"/>
            <w:gridSpan w:val="2"/>
          </w:tcPr>
          <w:p w14:paraId="776493D4" w14:textId="77777777" w:rsidR="00C36D3E" w:rsidRPr="00F55626" w:rsidRDefault="00F55626">
            <w:pPr>
              <w:spacing w:before="144" w:after="144"/>
              <w:rPr>
                <w:bCs/>
              </w:rPr>
            </w:pPr>
            <w:r w:rsidRPr="00F55626">
              <w:rPr>
                <w:bCs/>
              </w:rPr>
              <w:t>……………………………</w:t>
            </w:r>
          </w:p>
        </w:tc>
      </w:tr>
      <w:tr w:rsidR="00D01837" w:rsidRPr="00D01837" w14:paraId="7618D0EA" w14:textId="77777777" w:rsidTr="00592471">
        <w:trPr>
          <w:trHeight w:val="755"/>
        </w:trPr>
        <w:tc>
          <w:tcPr>
            <w:tcW w:w="3071" w:type="dxa"/>
            <w:tcBorders>
              <w:top w:val="single" w:sz="4" w:space="0" w:color="000000"/>
              <w:bottom w:val="single" w:sz="4" w:space="0" w:color="000000"/>
            </w:tcBorders>
            <w:shd w:val="clear" w:color="auto" w:fill="F2F2F2"/>
          </w:tcPr>
          <w:p w14:paraId="4A715989" w14:textId="77777777" w:rsidR="00C36D3E" w:rsidRPr="00D01837" w:rsidRDefault="00691959">
            <w:pPr>
              <w:widowControl w:val="0"/>
              <w:spacing w:before="144" w:after="144"/>
            </w:pPr>
            <w:r w:rsidRPr="00D01837">
              <w:t>Data ustanowienia odrębnej własności lokalu mieszkalnego</w:t>
            </w:r>
          </w:p>
        </w:tc>
        <w:tc>
          <w:tcPr>
            <w:tcW w:w="5973" w:type="dxa"/>
            <w:gridSpan w:val="2"/>
          </w:tcPr>
          <w:p w14:paraId="7984C8D0" w14:textId="5EDF8743" w:rsidR="007C7534" w:rsidRPr="007C7534" w:rsidRDefault="004877A2">
            <w:pPr>
              <w:spacing w:before="144" w:after="144"/>
            </w:pPr>
            <w:r>
              <w:rPr>
                <w:color w:val="00B050"/>
              </w:rPr>
              <w:t>Do 3</w:t>
            </w:r>
            <w:r w:rsidR="00FF62F4">
              <w:rPr>
                <w:color w:val="00B050"/>
              </w:rPr>
              <w:t>0</w:t>
            </w:r>
            <w:r>
              <w:rPr>
                <w:color w:val="00B050"/>
              </w:rPr>
              <w:t>.0</w:t>
            </w:r>
            <w:r w:rsidR="00FF62F4">
              <w:rPr>
                <w:color w:val="00B050"/>
              </w:rPr>
              <w:t>6</w:t>
            </w:r>
            <w:r>
              <w:rPr>
                <w:color w:val="00B050"/>
              </w:rPr>
              <w:t>.2026 r</w:t>
            </w:r>
            <w:r w:rsidRPr="00592471">
              <w:rPr>
                <w:color w:val="00B050"/>
              </w:rPr>
              <w:t>.</w:t>
            </w:r>
          </w:p>
        </w:tc>
      </w:tr>
      <w:tr w:rsidR="00D01837" w:rsidRPr="00D01837" w14:paraId="37FFCFC9" w14:textId="77777777">
        <w:tc>
          <w:tcPr>
            <w:tcW w:w="3071" w:type="dxa"/>
            <w:tcBorders>
              <w:top w:val="single" w:sz="4" w:space="0" w:color="000000"/>
              <w:bottom w:val="single" w:sz="4" w:space="0" w:color="000000"/>
            </w:tcBorders>
            <w:shd w:val="clear" w:color="auto" w:fill="F2F2F2"/>
          </w:tcPr>
          <w:p w14:paraId="31139CDE" w14:textId="77777777" w:rsidR="00C36D3E" w:rsidRPr="00D01837" w:rsidRDefault="00691959">
            <w:pPr>
              <w:spacing w:before="144" w:after="144"/>
              <w:jc w:val="both"/>
            </w:pPr>
            <w:r w:rsidRPr="00D01837">
              <w:t>Informacje o lokalu użytkowym nabywanym równocześnie z lokalem mieszkalnym albo domem jednorodzinnym</w:t>
            </w:r>
          </w:p>
        </w:tc>
        <w:tc>
          <w:tcPr>
            <w:tcW w:w="5973" w:type="dxa"/>
            <w:gridSpan w:val="2"/>
          </w:tcPr>
          <w:p w14:paraId="5875ADDD" w14:textId="77777777" w:rsidR="007C7534" w:rsidRDefault="002948F0">
            <w:pPr>
              <w:spacing w:before="144" w:after="144"/>
              <w:rPr>
                <w:bCs/>
              </w:rPr>
            </w:pPr>
            <w:r w:rsidRPr="00D01837">
              <w:rPr>
                <w:bCs/>
              </w:rPr>
              <w:t>Nie dotyczy</w:t>
            </w:r>
          </w:p>
          <w:p w14:paraId="359BE07C" w14:textId="77777777" w:rsidR="00C36D3E" w:rsidRPr="007C7534" w:rsidRDefault="00C36D3E">
            <w:pPr>
              <w:spacing w:before="144" w:after="144"/>
              <w:rPr>
                <w:bCs/>
                <w:color w:val="4F81BD" w:themeColor="accent1"/>
                <w:sz w:val="24"/>
                <w:szCs w:val="24"/>
              </w:rPr>
            </w:pPr>
          </w:p>
        </w:tc>
      </w:tr>
      <w:tr w:rsidR="00D01837" w:rsidRPr="00D01837" w14:paraId="187A608B" w14:textId="77777777">
        <w:tc>
          <w:tcPr>
            <w:tcW w:w="3071" w:type="dxa"/>
            <w:tcBorders>
              <w:top w:val="single" w:sz="4" w:space="0" w:color="000000"/>
              <w:bottom w:val="single" w:sz="4" w:space="0" w:color="000000"/>
            </w:tcBorders>
            <w:shd w:val="clear" w:color="auto" w:fill="F2F2F2"/>
          </w:tcPr>
          <w:p w14:paraId="6BD32A95" w14:textId="77777777" w:rsidR="00C36D3E" w:rsidRPr="00D01837" w:rsidRDefault="00691959">
            <w:pPr>
              <w:spacing w:before="144" w:after="144"/>
              <w:jc w:val="both"/>
            </w:pPr>
            <w:r w:rsidRPr="00D01837">
              <w:t xml:space="preserve">Cenę lokalu użytkowego albo ułamkowej części własności lokalu użytkowego </w:t>
            </w:r>
          </w:p>
        </w:tc>
        <w:tc>
          <w:tcPr>
            <w:tcW w:w="5973" w:type="dxa"/>
            <w:gridSpan w:val="2"/>
          </w:tcPr>
          <w:p w14:paraId="1F158ACB" w14:textId="77777777" w:rsidR="00C36D3E" w:rsidRPr="00D01837" w:rsidRDefault="002948F0">
            <w:pPr>
              <w:spacing w:before="144" w:after="144"/>
              <w:rPr>
                <w:bCs/>
              </w:rPr>
            </w:pPr>
            <w:r w:rsidRPr="00D01837">
              <w:rPr>
                <w:bCs/>
              </w:rPr>
              <w:t>Nie dotyczy</w:t>
            </w:r>
          </w:p>
        </w:tc>
      </w:tr>
      <w:tr w:rsidR="00D01837" w:rsidRPr="00D01837" w14:paraId="241AFE79" w14:textId="77777777">
        <w:tc>
          <w:tcPr>
            <w:tcW w:w="3071" w:type="dxa"/>
            <w:tcBorders>
              <w:top w:val="single" w:sz="4" w:space="0" w:color="000000"/>
              <w:bottom w:val="single" w:sz="4" w:space="0" w:color="000000"/>
            </w:tcBorders>
            <w:shd w:val="clear" w:color="auto" w:fill="F2F2F2"/>
          </w:tcPr>
          <w:p w14:paraId="29D68353" w14:textId="77777777" w:rsidR="00C36D3E" w:rsidRPr="00D01837" w:rsidRDefault="00691959" w:rsidP="00A80C39">
            <w:pPr>
              <w:spacing w:before="144" w:after="144"/>
              <w:jc w:val="both"/>
            </w:pPr>
            <w:r w:rsidRPr="00D01837">
              <w:t xml:space="preserve">Termin, do którego nastąpi przeniesienie prawa własności lokalu </w:t>
            </w:r>
            <w:r w:rsidR="00A80C39" w:rsidRPr="00A80C39">
              <w:t>użytkowego</w:t>
            </w:r>
            <w:r w:rsidRPr="00A80C39">
              <w:t xml:space="preserve"> albo ułamkowej </w:t>
            </w:r>
            <w:r w:rsidRPr="00A80C39">
              <w:lastRenderedPageBreak/>
              <w:t xml:space="preserve">części własności lokalu </w:t>
            </w:r>
            <w:r w:rsidR="00A80C39" w:rsidRPr="00A80C39">
              <w:t>użytkowego</w:t>
            </w:r>
          </w:p>
        </w:tc>
        <w:tc>
          <w:tcPr>
            <w:tcW w:w="5973" w:type="dxa"/>
            <w:gridSpan w:val="2"/>
          </w:tcPr>
          <w:p w14:paraId="2578BDED" w14:textId="77777777" w:rsidR="00C36D3E" w:rsidRPr="004877A2" w:rsidRDefault="00A80C39" w:rsidP="004877A2">
            <w:r w:rsidRPr="00D01837">
              <w:rPr>
                <w:bCs/>
              </w:rPr>
              <w:lastRenderedPageBreak/>
              <w:t>Nie dotyczy</w:t>
            </w:r>
          </w:p>
        </w:tc>
      </w:tr>
    </w:tbl>
    <w:p w14:paraId="3AA12579" w14:textId="77777777" w:rsidR="00C36D3E" w:rsidRDefault="00691959" w:rsidP="00592471">
      <w:pPr>
        <w:spacing w:before="144" w:after="144" w:line="240" w:lineRule="auto"/>
        <w:jc w:val="right"/>
        <w:rPr>
          <w:rFonts w:ascii="Times New Roman" w:eastAsia="Times New Roman" w:hAnsi="Times New Roman" w:cs="Times New Roman"/>
          <w:b/>
          <w:sz w:val="20"/>
          <w:szCs w:val="20"/>
        </w:rPr>
      </w:pPr>
      <w:r w:rsidRPr="00D01837">
        <w:rPr>
          <w:rFonts w:ascii="Times New Roman" w:eastAsia="Times New Roman" w:hAnsi="Times New Roman" w:cs="Times New Roman"/>
          <w:b/>
          <w:sz w:val="20"/>
          <w:szCs w:val="20"/>
        </w:rPr>
        <w:t>Podpis osoby upoważnionej do reprezentacji dewelopera</w:t>
      </w:r>
    </w:p>
    <w:p w14:paraId="532771AA" w14:textId="77777777" w:rsidR="00592471" w:rsidRPr="00D01837" w:rsidRDefault="00592471" w:rsidP="00592471">
      <w:pPr>
        <w:spacing w:before="144" w:after="144" w:line="240" w:lineRule="auto"/>
        <w:jc w:val="right"/>
        <w:rPr>
          <w:rFonts w:ascii="Times New Roman" w:eastAsia="Times New Roman" w:hAnsi="Times New Roman" w:cs="Times New Roman"/>
          <w:b/>
          <w:sz w:val="20"/>
          <w:szCs w:val="20"/>
        </w:rPr>
      </w:pPr>
    </w:p>
    <w:p w14:paraId="2B407760" w14:textId="77777777" w:rsidR="00C36D3E" w:rsidRPr="00D01837" w:rsidRDefault="00691959">
      <w:pPr>
        <w:spacing w:before="144" w:after="144" w:line="240" w:lineRule="auto"/>
        <w:jc w:val="right"/>
        <w:rPr>
          <w:rFonts w:ascii="Times New Roman" w:eastAsia="Times New Roman" w:hAnsi="Times New Roman" w:cs="Times New Roman"/>
          <w:b/>
          <w:sz w:val="20"/>
          <w:szCs w:val="20"/>
        </w:rPr>
      </w:pPr>
      <w:r w:rsidRPr="00D01837">
        <w:rPr>
          <w:rFonts w:ascii="Times New Roman" w:eastAsia="Times New Roman" w:hAnsi="Times New Roman" w:cs="Times New Roman"/>
          <w:b/>
          <w:sz w:val="20"/>
          <w:szCs w:val="20"/>
        </w:rPr>
        <w:t>…...………………………………….</w:t>
      </w:r>
    </w:p>
    <w:p w14:paraId="633077F0" w14:textId="77777777" w:rsidR="00C36D3E" w:rsidRPr="00D01837" w:rsidRDefault="00C36D3E">
      <w:pPr>
        <w:spacing w:before="144" w:after="144" w:line="240" w:lineRule="auto"/>
        <w:jc w:val="both"/>
        <w:rPr>
          <w:rFonts w:ascii="Times New Roman" w:eastAsia="Times New Roman" w:hAnsi="Times New Roman" w:cs="Times New Roman"/>
          <w:b/>
          <w:sz w:val="20"/>
          <w:szCs w:val="20"/>
        </w:rPr>
      </w:pPr>
    </w:p>
    <w:p w14:paraId="557618C3" w14:textId="77777777" w:rsidR="00C36D3E" w:rsidRPr="00D01837" w:rsidRDefault="00C36D3E">
      <w:pPr>
        <w:spacing w:before="144" w:after="144" w:line="240" w:lineRule="auto"/>
        <w:jc w:val="both"/>
        <w:rPr>
          <w:rFonts w:ascii="Times New Roman" w:eastAsia="Times New Roman" w:hAnsi="Times New Roman" w:cs="Times New Roman"/>
          <w:b/>
          <w:sz w:val="20"/>
          <w:szCs w:val="20"/>
        </w:rPr>
      </w:pPr>
    </w:p>
    <w:p w14:paraId="2EA0E43B" w14:textId="77777777" w:rsidR="00C36D3E" w:rsidRPr="00D01837" w:rsidRDefault="00E50124">
      <w:pPr>
        <w:spacing w:before="144" w:after="144"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mc:AlternateContent>
          <mc:Choice Requires="wps">
            <w:drawing>
              <wp:anchor distT="0" distB="0" distL="114300" distR="114300" simplePos="0" relativeHeight="251658240" behindDoc="0" locked="0" layoutInCell="1" hidden="0" allowOverlap="1" wp14:anchorId="7FCE4B21" wp14:editId="282528CD">
                <wp:simplePos x="0" y="0"/>
                <wp:positionH relativeFrom="column">
                  <wp:posOffset>-800099</wp:posOffset>
                </wp:positionH>
                <wp:positionV relativeFrom="paragraph">
                  <wp:posOffset>10160</wp:posOffset>
                </wp:positionV>
                <wp:extent cx="7543800" cy="0"/>
                <wp:effectExtent l="17145" t="16510" r="20955" b="2159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wps:spPr>
                      <wps:bodyPr/>
                    </wps:wsp>
                  </a:graphicData>
                </a:graphic>
              </wp:anchor>
            </w:drawing>
          </mc:Choice>
          <mc:Fallback>
            <w:pict>
              <v:line w14:anchorId="2A3801BE" id="Łącznik prosty 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63pt,.8pt" to="53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" strokeweight="2.25pt"/>
            </w:pict>
          </mc:Fallback>
        </mc:AlternateContent>
      </w:r>
    </w:p>
    <w:p w14:paraId="6D607AC8" w14:textId="77777777" w:rsidR="00C36D3E" w:rsidRPr="00D01837" w:rsidRDefault="00691959">
      <w:pPr>
        <w:spacing w:before="144" w:after="144" w:line="240" w:lineRule="auto"/>
        <w:jc w:val="both"/>
        <w:rPr>
          <w:rFonts w:ascii="Times New Roman" w:eastAsia="Times New Roman" w:hAnsi="Times New Roman" w:cs="Times New Roman"/>
          <w:b/>
          <w:sz w:val="20"/>
          <w:szCs w:val="20"/>
        </w:rPr>
      </w:pPr>
      <w:r w:rsidRPr="00D01837">
        <w:rPr>
          <w:rFonts w:ascii="Times New Roman" w:eastAsia="Times New Roman" w:hAnsi="Times New Roman" w:cs="Times New Roman"/>
          <w:b/>
          <w:sz w:val="20"/>
          <w:szCs w:val="20"/>
        </w:rPr>
        <w:t>Załączniki:</w:t>
      </w:r>
    </w:p>
    <w:p w14:paraId="29533235" w14:textId="77777777" w:rsidR="00C36D3E" w:rsidRPr="00D01837" w:rsidRDefault="00691959" w:rsidP="00A56D17">
      <w:pPr>
        <w:pStyle w:val="Akapitzlist"/>
        <w:numPr>
          <w:ilvl w:val="0"/>
          <w:numId w:val="6"/>
        </w:numPr>
        <w:spacing w:before="144" w:after="144" w:line="240" w:lineRule="auto"/>
        <w:jc w:val="both"/>
        <w:rPr>
          <w:rFonts w:ascii="Times New Roman" w:eastAsia="Times New Roman" w:hAnsi="Times New Roman" w:cs="Times New Roman"/>
          <w:sz w:val="20"/>
          <w:szCs w:val="20"/>
        </w:rPr>
      </w:pPr>
      <w:bookmarkStart w:id="5" w:name="_Hlk114148726"/>
      <w:r w:rsidRPr="00D01837">
        <w:rPr>
          <w:rFonts w:ascii="Times New Roman" w:eastAsia="Times New Roman" w:hAnsi="Times New Roman" w:cs="Times New Roman"/>
          <w:sz w:val="20"/>
          <w:szCs w:val="20"/>
        </w:rPr>
        <w:t>Rzut kondygnacji z zaznaczeniem lokalu mieszkalnego.</w:t>
      </w:r>
    </w:p>
    <w:p w14:paraId="77B9F64A" w14:textId="77777777" w:rsidR="00A56D17" w:rsidRPr="00D01837" w:rsidRDefault="00A56D17" w:rsidP="00A56D17">
      <w:pPr>
        <w:pStyle w:val="Akapitzlist"/>
        <w:numPr>
          <w:ilvl w:val="0"/>
          <w:numId w:val="6"/>
        </w:numPr>
        <w:spacing w:before="144" w:after="144" w:line="240" w:lineRule="auto"/>
        <w:jc w:val="both"/>
        <w:rPr>
          <w:rFonts w:ascii="Times New Roman" w:eastAsia="Times New Roman" w:hAnsi="Times New Roman" w:cs="Times New Roman"/>
          <w:sz w:val="20"/>
          <w:szCs w:val="20"/>
        </w:rPr>
      </w:pPr>
      <w:r w:rsidRPr="00D01837">
        <w:rPr>
          <w:rFonts w:ascii="Times New Roman" w:eastAsia="Times New Roman" w:hAnsi="Times New Roman" w:cs="Times New Roman"/>
          <w:sz w:val="20"/>
          <w:szCs w:val="20"/>
        </w:rPr>
        <w:t>Standard wykończenia lokalu</w:t>
      </w:r>
    </w:p>
    <w:p w14:paraId="342A6953" w14:textId="77777777" w:rsidR="0020542B" w:rsidRPr="00D01837" w:rsidRDefault="00691959" w:rsidP="0020542B">
      <w:pPr>
        <w:pStyle w:val="Akapitzlist"/>
        <w:numPr>
          <w:ilvl w:val="0"/>
          <w:numId w:val="6"/>
        </w:numPr>
        <w:rPr>
          <w:rFonts w:ascii="Times New Roman" w:hAnsi="Times New Roman" w:cs="Times New Roman"/>
          <w:sz w:val="20"/>
          <w:szCs w:val="20"/>
        </w:rPr>
      </w:pPr>
      <w:r w:rsidRPr="00D01837">
        <w:rPr>
          <w:rFonts w:ascii="Times New Roman" w:hAnsi="Times New Roman" w:cs="Times New Roman"/>
          <w:sz w:val="20"/>
          <w:szCs w:val="20"/>
        </w:rPr>
        <w:t>Wzór umowy deweloperskiej.</w:t>
      </w:r>
    </w:p>
    <w:p w14:paraId="5A17531E" w14:textId="77777777" w:rsidR="00C36D3E" w:rsidRPr="00D01837" w:rsidRDefault="00A56D17" w:rsidP="0020542B">
      <w:pPr>
        <w:pStyle w:val="Akapitzlist"/>
        <w:numPr>
          <w:ilvl w:val="0"/>
          <w:numId w:val="6"/>
        </w:numPr>
      </w:pPr>
      <w:r w:rsidRPr="00D01837">
        <w:rPr>
          <w:rFonts w:ascii="Times New Roman" w:eastAsia="Times New Roman" w:hAnsi="Times New Roman" w:cs="Times New Roman"/>
          <w:sz w:val="20"/>
          <w:szCs w:val="20"/>
        </w:rPr>
        <w:t xml:space="preserve">Szkic koncepcji zagospodarowania terenu inwestycji i jego otoczenia z zaznaczeniem budynku oraz istotnych uwarunkowań lokalizacji inwestycji wynikających z przepisów odrębnych oraz z istniejącego i planowanego stanu użytkowania terenów sąsiednich (np. z funkcji terenu, stref ochronnych, uciążliwości). </w:t>
      </w:r>
    </w:p>
    <w:bookmarkEnd w:id="5"/>
    <w:p w14:paraId="4BDC880E" w14:textId="77777777" w:rsidR="00C36D3E" w:rsidRPr="00D01837" w:rsidRDefault="00E50124">
      <w:pPr>
        <w:spacing w:before="144" w:after="144"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mc:AlternateContent>
          <mc:Choice Requires="wps">
            <w:drawing>
              <wp:anchor distT="0" distB="0" distL="114300" distR="114300" simplePos="0" relativeHeight="251659264" behindDoc="0" locked="0" layoutInCell="1" hidden="0" allowOverlap="1" wp14:anchorId="349B0508" wp14:editId="3A1CE577">
                <wp:simplePos x="0" y="0"/>
                <wp:positionH relativeFrom="column">
                  <wp:posOffset>-800099</wp:posOffset>
                </wp:positionH>
                <wp:positionV relativeFrom="paragraph">
                  <wp:posOffset>84455</wp:posOffset>
                </wp:positionV>
                <wp:extent cx="7543800" cy="0"/>
                <wp:effectExtent l="17145" t="19050" r="20955" b="190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wps:spPr>
                      <wps:bodyPr/>
                    </wps:wsp>
                  </a:graphicData>
                </a:graphic>
              </wp:anchor>
            </w:drawing>
          </mc:Choice>
          <mc:Fallback>
            <w:pict>
              <v:line w14:anchorId="2835E9F7" id="Łącznik prosty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3pt,6.65pt" to="53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" strokeweight="2.25pt"/>
            </w:pict>
          </mc:Fallback>
        </mc:AlternateContent>
      </w:r>
    </w:p>
    <w:p w14:paraId="665C58FA" w14:textId="77777777" w:rsidR="00C36D3E" w:rsidRPr="00D01837" w:rsidRDefault="00C36D3E"/>
    <w:sectPr w:rsidR="00C36D3E" w:rsidRPr="00D01837" w:rsidSect="007E0A40">
      <w:footerReference w:type="default" r:id="rId10"/>
      <w:headerReference w:type="first" r:id="rId11"/>
      <w:footerReference w:type="first" r:id="rId12"/>
      <w:pgSz w:w="11906" w:h="16838"/>
      <w:pgMar w:top="1417" w:right="1417" w:bottom="1417" w:left="1417"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97915" w14:textId="77777777" w:rsidR="002A446A" w:rsidRDefault="002A446A">
      <w:pPr>
        <w:spacing w:after="0" w:line="240" w:lineRule="auto"/>
      </w:pPr>
      <w:r>
        <w:separator/>
      </w:r>
    </w:p>
  </w:endnote>
  <w:endnote w:type="continuationSeparator" w:id="0">
    <w:p w14:paraId="51338E2D" w14:textId="77777777" w:rsidR="002A446A" w:rsidRDefault="002A4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E3271" w14:textId="77777777" w:rsidR="00F117A4" w:rsidRDefault="00324810">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F117A4">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80C39">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2B8DB" w14:textId="77777777" w:rsidR="00F117A4" w:rsidRDefault="00F117A4">
    <w:pPr>
      <w:pBdr>
        <w:top w:val="nil"/>
        <w:left w:val="nil"/>
        <w:bottom w:val="nil"/>
        <w:right w:val="nil"/>
        <w:between w:val="nil"/>
      </w:pBdr>
      <w:tabs>
        <w:tab w:val="center" w:pos="4536"/>
        <w:tab w:val="right" w:pos="9072"/>
      </w:tabs>
      <w:spacing w:after="0" w:line="240" w:lineRule="auto"/>
      <w:jc w:val="center"/>
      <w:rPr>
        <w:color w:val="000000"/>
      </w:rPr>
    </w:pPr>
  </w:p>
  <w:p w14:paraId="5D9A9322" w14:textId="77777777" w:rsidR="00F117A4" w:rsidRDefault="00F117A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A4594" w14:textId="77777777" w:rsidR="002A446A" w:rsidRDefault="002A446A">
      <w:pPr>
        <w:spacing w:after="0" w:line="240" w:lineRule="auto"/>
      </w:pPr>
      <w:r>
        <w:separator/>
      </w:r>
    </w:p>
  </w:footnote>
  <w:footnote w:type="continuationSeparator" w:id="0">
    <w:p w14:paraId="5933E31A" w14:textId="77777777" w:rsidR="002A446A" w:rsidRDefault="002A4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F4F29" w14:textId="77777777" w:rsidR="00F117A4" w:rsidRPr="00F3569D" w:rsidRDefault="00F117A4" w:rsidP="00F3569D">
    <w:pPr>
      <w:spacing w:before="144" w:after="144" w:line="240" w:lineRule="auto"/>
      <w:jc w:val="both"/>
      <w:rPr>
        <w:rFonts w:ascii="Times New Roman" w:eastAsia="Times New Roman" w:hAnsi="Times New Roman" w:cs="Times New Roman"/>
        <w:sz w:val="20"/>
        <w:szCs w:val="20"/>
      </w:rPr>
    </w:pPr>
    <w:r w:rsidRPr="00F3569D">
      <w:rPr>
        <w:rFonts w:ascii="Times New Roman" w:eastAsia="Times New Roman" w:hAnsi="Times New Roman" w:cs="Times New Roman"/>
        <w:sz w:val="20"/>
        <w:szCs w:val="20"/>
      </w:rPr>
      <w:t xml:space="preserve">PROSPEKT INFORMACYJNY </w:t>
    </w:r>
    <w:r>
      <w:rPr>
        <w:rFonts w:ascii="Times New Roman" w:eastAsia="Times New Roman" w:hAnsi="Times New Roman" w:cs="Times New Roman"/>
        <w:sz w:val="20"/>
        <w:szCs w:val="20"/>
      </w:rPr>
      <w:t>07</w:t>
    </w:r>
    <w:r w:rsidRPr="00F3569D">
      <w:rPr>
        <w:rFonts w:ascii="Times New Roman" w:eastAsia="Times New Roman" w:hAnsi="Times New Roman" w:cs="Times New Roman"/>
        <w:sz w:val="20"/>
        <w:szCs w:val="20"/>
      </w:rPr>
      <w:t>.</w:t>
    </w:r>
    <w:r>
      <w:rPr>
        <w:rFonts w:ascii="Times New Roman" w:eastAsia="Times New Roman" w:hAnsi="Times New Roman" w:cs="Times New Roman"/>
        <w:sz w:val="20"/>
        <w:szCs w:val="20"/>
      </w:rPr>
      <w:t>11</w:t>
    </w:r>
    <w:r w:rsidRPr="00F3569D">
      <w:rPr>
        <w:rFonts w:ascii="Times New Roman" w:eastAsia="Times New Roman" w:hAnsi="Times New Roman" w:cs="Times New Roman"/>
        <w:sz w:val="20"/>
        <w:szCs w:val="20"/>
      </w:rPr>
      <w:t>.2024</w:t>
    </w:r>
    <w:r>
      <w:rPr>
        <w:rFonts w:ascii="Times New Roman" w:eastAsia="Times New Roman" w:hAnsi="Times New Roman" w:cs="Times New Roman"/>
        <w:sz w:val="20"/>
        <w:szCs w:val="20"/>
      </w:rPr>
      <w:t xml:space="preserve"> r.</w:t>
    </w:r>
  </w:p>
  <w:p w14:paraId="066CDF38" w14:textId="77777777" w:rsidR="00F117A4" w:rsidRDefault="00F117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4148D"/>
    <w:multiLevelType w:val="multilevel"/>
    <w:tmpl w:val="1CB26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0E567C"/>
    <w:multiLevelType w:val="multilevel"/>
    <w:tmpl w:val="4DA2A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B67141"/>
    <w:multiLevelType w:val="hybridMultilevel"/>
    <w:tmpl w:val="0FA803F6"/>
    <w:lvl w:ilvl="0" w:tplc="6FA6D25A">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7F85018">
      <w:start w:val="1"/>
      <w:numFmt w:val="bullet"/>
      <w:lvlText w:val="o"/>
      <w:lvlJc w:val="left"/>
      <w:pPr>
        <w:ind w:left="11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8B841EC">
      <w:start w:val="1"/>
      <w:numFmt w:val="bullet"/>
      <w:lvlText w:val="▪"/>
      <w:lvlJc w:val="left"/>
      <w:pPr>
        <w:ind w:left="18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7B67D82">
      <w:start w:val="1"/>
      <w:numFmt w:val="bullet"/>
      <w:lvlText w:val="•"/>
      <w:lvlJc w:val="left"/>
      <w:pPr>
        <w:ind w:left="25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AEAEE22">
      <w:start w:val="1"/>
      <w:numFmt w:val="bullet"/>
      <w:lvlText w:val="o"/>
      <w:lvlJc w:val="left"/>
      <w:pPr>
        <w:ind w:left="32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3A7094">
      <w:start w:val="1"/>
      <w:numFmt w:val="bullet"/>
      <w:lvlText w:val="▪"/>
      <w:lvlJc w:val="left"/>
      <w:pPr>
        <w:ind w:left="39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3228450">
      <w:start w:val="1"/>
      <w:numFmt w:val="bullet"/>
      <w:lvlText w:val="•"/>
      <w:lvlJc w:val="left"/>
      <w:pPr>
        <w:ind w:left="47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6F01C70">
      <w:start w:val="1"/>
      <w:numFmt w:val="bullet"/>
      <w:lvlText w:val="o"/>
      <w:lvlJc w:val="left"/>
      <w:pPr>
        <w:ind w:left="54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49238B6">
      <w:start w:val="1"/>
      <w:numFmt w:val="bullet"/>
      <w:lvlText w:val="▪"/>
      <w:lvlJc w:val="left"/>
      <w:pPr>
        <w:ind w:left="61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C450432"/>
    <w:multiLevelType w:val="multilevel"/>
    <w:tmpl w:val="3432BB6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C73BA7"/>
    <w:multiLevelType w:val="multilevel"/>
    <w:tmpl w:val="B4162E36"/>
    <w:lvl w:ilvl="0">
      <w:start w:val="1"/>
      <w:numFmt w:val="decimal"/>
      <w:lvlText w:val="%1)"/>
      <w:lvlJc w:val="left"/>
      <w:pPr>
        <w:ind w:left="360" w:hanging="360"/>
      </w:pPr>
      <w:rPr>
        <w:rFonts w:ascii="Times New Roman" w:hAnsi="Times New Roman" w:cs="Times New Roman" w:hint="default"/>
        <w:b w:val="0"/>
        <w:bCs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EC910CC"/>
    <w:multiLevelType w:val="hybridMultilevel"/>
    <w:tmpl w:val="3E907216"/>
    <w:lvl w:ilvl="0" w:tplc="3BD6F7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377421EA"/>
    <w:multiLevelType w:val="multilevel"/>
    <w:tmpl w:val="7FFA0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9600EE"/>
    <w:multiLevelType w:val="multilevel"/>
    <w:tmpl w:val="B2ECAFFE"/>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013905">
    <w:abstractNumId w:val="1"/>
  </w:num>
  <w:num w:numId="2" w16cid:durableId="2048404915">
    <w:abstractNumId w:val="0"/>
  </w:num>
  <w:num w:numId="3" w16cid:durableId="228463848">
    <w:abstractNumId w:val="6"/>
  </w:num>
  <w:num w:numId="4" w16cid:durableId="712852829">
    <w:abstractNumId w:val="3"/>
  </w:num>
  <w:num w:numId="5" w16cid:durableId="42796200">
    <w:abstractNumId w:val="7"/>
  </w:num>
  <w:num w:numId="6" w16cid:durableId="552927810">
    <w:abstractNumId w:val="4"/>
  </w:num>
  <w:num w:numId="7" w16cid:durableId="20208574">
    <w:abstractNumId w:val="2"/>
  </w:num>
  <w:num w:numId="8" w16cid:durableId="333804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3E"/>
    <w:rsid w:val="000042D1"/>
    <w:rsid w:val="00012BF3"/>
    <w:rsid w:val="000250EB"/>
    <w:rsid w:val="000328ED"/>
    <w:rsid w:val="00056C36"/>
    <w:rsid w:val="00071A06"/>
    <w:rsid w:val="000A1B3A"/>
    <w:rsid w:val="000A2A7C"/>
    <w:rsid w:val="000C5612"/>
    <w:rsid w:val="000C6523"/>
    <w:rsid w:val="000F1A65"/>
    <w:rsid w:val="001001EB"/>
    <w:rsid w:val="00101BC1"/>
    <w:rsid w:val="001027BC"/>
    <w:rsid w:val="001263EC"/>
    <w:rsid w:val="001341F6"/>
    <w:rsid w:val="00143D76"/>
    <w:rsid w:val="00167007"/>
    <w:rsid w:val="00173AD1"/>
    <w:rsid w:val="0018748D"/>
    <w:rsid w:val="00192127"/>
    <w:rsid w:val="001A1D13"/>
    <w:rsid w:val="001A2CB4"/>
    <w:rsid w:val="001C6C85"/>
    <w:rsid w:val="001E2C37"/>
    <w:rsid w:val="001E566C"/>
    <w:rsid w:val="001F440E"/>
    <w:rsid w:val="00200E73"/>
    <w:rsid w:val="0020542B"/>
    <w:rsid w:val="00241244"/>
    <w:rsid w:val="002753D0"/>
    <w:rsid w:val="002948F0"/>
    <w:rsid w:val="00296513"/>
    <w:rsid w:val="002A03B8"/>
    <w:rsid w:val="002A1178"/>
    <w:rsid w:val="002A27EF"/>
    <w:rsid w:val="002A35ED"/>
    <w:rsid w:val="002A446A"/>
    <w:rsid w:val="002B66C2"/>
    <w:rsid w:val="002B674C"/>
    <w:rsid w:val="002B79DB"/>
    <w:rsid w:val="002F6469"/>
    <w:rsid w:val="002F6730"/>
    <w:rsid w:val="00301292"/>
    <w:rsid w:val="00310C45"/>
    <w:rsid w:val="00316DBD"/>
    <w:rsid w:val="00321EB2"/>
    <w:rsid w:val="00324810"/>
    <w:rsid w:val="003426C4"/>
    <w:rsid w:val="0035359B"/>
    <w:rsid w:val="00362324"/>
    <w:rsid w:val="003879D3"/>
    <w:rsid w:val="003B09A9"/>
    <w:rsid w:val="003C34EE"/>
    <w:rsid w:val="003C55DC"/>
    <w:rsid w:val="003D05F3"/>
    <w:rsid w:val="00401FE5"/>
    <w:rsid w:val="004113CE"/>
    <w:rsid w:val="00420716"/>
    <w:rsid w:val="00423C28"/>
    <w:rsid w:val="00436FA3"/>
    <w:rsid w:val="0044528A"/>
    <w:rsid w:val="004455C7"/>
    <w:rsid w:val="004573FD"/>
    <w:rsid w:val="0046674B"/>
    <w:rsid w:val="00476906"/>
    <w:rsid w:val="004877A2"/>
    <w:rsid w:val="0048798C"/>
    <w:rsid w:val="00490F49"/>
    <w:rsid w:val="00494C53"/>
    <w:rsid w:val="00495744"/>
    <w:rsid w:val="004B14E6"/>
    <w:rsid w:val="004C5DB9"/>
    <w:rsid w:val="004E7C8C"/>
    <w:rsid w:val="004F020B"/>
    <w:rsid w:val="004F1855"/>
    <w:rsid w:val="004F7ABE"/>
    <w:rsid w:val="00510326"/>
    <w:rsid w:val="0051250C"/>
    <w:rsid w:val="0051644A"/>
    <w:rsid w:val="00525747"/>
    <w:rsid w:val="00527096"/>
    <w:rsid w:val="00527C3A"/>
    <w:rsid w:val="005344C0"/>
    <w:rsid w:val="00537842"/>
    <w:rsid w:val="00555B2A"/>
    <w:rsid w:val="005668D9"/>
    <w:rsid w:val="00570CD0"/>
    <w:rsid w:val="00570CF5"/>
    <w:rsid w:val="00580E95"/>
    <w:rsid w:val="0058571D"/>
    <w:rsid w:val="00592471"/>
    <w:rsid w:val="005C1120"/>
    <w:rsid w:val="005D3B56"/>
    <w:rsid w:val="005E3402"/>
    <w:rsid w:val="006110DC"/>
    <w:rsid w:val="00631BA7"/>
    <w:rsid w:val="00641A6F"/>
    <w:rsid w:val="0065744C"/>
    <w:rsid w:val="006672E0"/>
    <w:rsid w:val="00685858"/>
    <w:rsid w:val="006877C0"/>
    <w:rsid w:val="00691959"/>
    <w:rsid w:val="006A6F88"/>
    <w:rsid w:val="006B2688"/>
    <w:rsid w:val="006B7B80"/>
    <w:rsid w:val="006C354D"/>
    <w:rsid w:val="006C3D0C"/>
    <w:rsid w:val="006D6F88"/>
    <w:rsid w:val="00705981"/>
    <w:rsid w:val="00771254"/>
    <w:rsid w:val="0077216A"/>
    <w:rsid w:val="00775E02"/>
    <w:rsid w:val="007827BB"/>
    <w:rsid w:val="007A2158"/>
    <w:rsid w:val="007B0E83"/>
    <w:rsid w:val="007B2D32"/>
    <w:rsid w:val="007C5571"/>
    <w:rsid w:val="007C7534"/>
    <w:rsid w:val="007E0A40"/>
    <w:rsid w:val="007F0846"/>
    <w:rsid w:val="007F47BD"/>
    <w:rsid w:val="00810C3D"/>
    <w:rsid w:val="00810C7C"/>
    <w:rsid w:val="00836001"/>
    <w:rsid w:val="008442ED"/>
    <w:rsid w:val="00844639"/>
    <w:rsid w:val="00854A6D"/>
    <w:rsid w:val="00856A09"/>
    <w:rsid w:val="00866593"/>
    <w:rsid w:val="00877E84"/>
    <w:rsid w:val="00884123"/>
    <w:rsid w:val="0089414E"/>
    <w:rsid w:val="008A15F9"/>
    <w:rsid w:val="008C42B4"/>
    <w:rsid w:val="008C603F"/>
    <w:rsid w:val="008D15DC"/>
    <w:rsid w:val="008D27B3"/>
    <w:rsid w:val="008E7105"/>
    <w:rsid w:val="008E77E1"/>
    <w:rsid w:val="008E7BBF"/>
    <w:rsid w:val="008F4C12"/>
    <w:rsid w:val="00901264"/>
    <w:rsid w:val="009052C5"/>
    <w:rsid w:val="00906443"/>
    <w:rsid w:val="00907272"/>
    <w:rsid w:val="00933787"/>
    <w:rsid w:val="0093637E"/>
    <w:rsid w:val="0093690F"/>
    <w:rsid w:val="00943EB3"/>
    <w:rsid w:val="00955D4C"/>
    <w:rsid w:val="00993227"/>
    <w:rsid w:val="009D20EE"/>
    <w:rsid w:val="00A02CD9"/>
    <w:rsid w:val="00A0759C"/>
    <w:rsid w:val="00A132CB"/>
    <w:rsid w:val="00A1347F"/>
    <w:rsid w:val="00A238B1"/>
    <w:rsid w:val="00A313E0"/>
    <w:rsid w:val="00A32B38"/>
    <w:rsid w:val="00A419AF"/>
    <w:rsid w:val="00A56D17"/>
    <w:rsid w:val="00A80C39"/>
    <w:rsid w:val="00A80DF7"/>
    <w:rsid w:val="00AB6E07"/>
    <w:rsid w:val="00AD15A5"/>
    <w:rsid w:val="00AD5AC5"/>
    <w:rsid w:val="00B0272B"/>
    <w:rsid w:val="00B02FF4"/>
    <w:rsid w:val="00B228DE"/>
    <w:rsid w:val="00B24552"/>
    <w:rsid w:val="00B54ACE"/>
    <w:rsid w:val="00B55D94"/>
    <w:rsid w:val="00B56CCB"/>
    <w:rsid w:val="00B71076"/>
    <w:rsid w:val="00B81897"/>
    <w:rsid w:val="00B81A29"/>
    <w:rsid w:val="00B91452"/>
    <w:rsid w:val="00BA4CB1"/>
    <w:rsid w:val="00BB3388"/>
    <w:rsid w:val="00BE4A02"/>
    <w:rsid w:val="00BE5657"/>
    <w:rsid w:val="00C00978"/>
    <w:rsid w:val="00C3313F"/>
    <w:rsid w:val="00C33DE6"/>
    <w:rsid w:val="00C36D3E"/>
    <w:rsid w:val="00C57CB1"/>
    <w:rsid w:val="00C62794"/>
    <w:rsid w:val="00C64E6A"/>
    <w:rsid w:val="00C74A9D"/>
    <w:rsid w:val="00C80B4B"/>
    <w:rsid w:val="00C82A93"/>
    <w:rsid w:val="00C86CE8"/>
    <w:rsid w:val="00C93F4A"/>
    <w:rsid w:val="00CA0E88"/>
    <w:rsid w:val="00CA61A4"/>
    <w:rsid w:val="00CD02A6"/>
    <w:rsid w:val="00CD1C14"/>
    <w:rsid w:val="00CD4C3A"/>
    <w:rsid w:val="00CF34B0"/>
    <w:rsid w:val="00D01837"/>
    <w:rsid w:val="00D04FB0"/>
    <w:rsid w:val="00D211A2"/>
    <w:rsid w:val="00D248CD"/>
    <w:rsid w:val="00D54249"/>
    <w:rsid w:val="00D83C95"/>
    <w:rsid w:val="00D84646"/>
    <w:rsid w:val="00D91026"/>
    <w:rsid w:val="00DA11A5"/>
    <w:rsid w:val="00DC4411"/>
    <w:rsid w:val="00DD7BCF"/>
    <w:rsid w:val="00DE2167"/>
    <w:rsid w:val="00DE2911"/>
    <w:rsid w:val="00DF0DAF"/>
    <w:rsid w:val="00E01157"/>
    <w:rsid w:val="00E07E3E"/>
    <w:rsid w:val="00E429EE"/>
    <w:rsid w:val="00E50124"/>
    <w:rsid w:val="00E66E40"/>
    <w:rsid w:val="00E756E3"/>
    <w:rsid w:val="00E75CAF"/>
    <w:rsid w:val="00E76DD5"/>
    <w:rsid w:val="00E8057C"/>
    <w:rsid w:val="00E81AB9"/>
    <w:rsid w:val="00E978B1"/>
    <w:rsid w:val="00EA5564"/>
    <w:rsid w:val="00EB727D"/>
    <w:rsid w:val="00EC6BF7"/>
    <w:rsid w:val="00EC7810"/>
    <w:rsid w:val="00ED0C37"/>
    <w:rsid w:val="00EF0AA5"/>
    <w:rsid w:val="00EF39D4"/>
    <w:rsid w:val="00EF6E59"/>
    <w:rsid w:val="00F02DBD"/>
    <w:rsid w:val="00F05F3B"/>
    <w:rsid w:val="00F1001A"/>
    <w:rsid w:val="00F117A4"/>
    <w:rsid w:val="00F3569D"/>
    <w:rsid w:val="00F47B20"/>
    <w:rsid w:val="00F50E94"/>
    <w:rsid w:val="00F544A9"/>
    <w:rsid w:val="00F55626"/>
    <w:rsid w:val="00F66EDD"/>
    <w:rsid w:val="00F75D38"/>
    <w:rsid w:val="00F83CB9"/>
    <w:rsid w:val="00FC16C0"/>
    <w:rsid w:val="00FC28B0"/>
    <w:rsid w:val="00FF4948"/>
    <w:rsid w:val="00FF614B"/>
    <w:rsid w:val="00FF62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4A76"/>
  <w15:docId w15:val="{90206820-7891-45EF-BAE4-2B418068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0A40"/>
  </w:style>
  <w:style w:type="paragraph" w:styleId="Nagwek1">
    <w:name w:val="heading 1"/>
    <w:basedOn w:val="Normalny"/>
    <w:next w:val="Normalny"/>
    <w:uiPriority w:val="9"/>
    <w:qFormat/>
    <w:rsid w:val="007E0A40"/>
    <w:pPr>
      <w:keepNext/>
      <w:keepLines/>
      <w:spacing w:before="480" w:after="120"/>
      <w:outlineLvl w:val="0"/>
    </w:pPr>
    <w:rPr>
      <w:b/>
      <w:sz w:val="48"/>
      <w:szCs w:val="48"/>
    </w:rPr>
  </w:style>
  <w:style w:type="paragraph" w:styleId="Nagwek2">
    <w:name w:val="heading 2"/>
    <w:basedOn w:val="Normalny"/>
    <w:next w:val="Normalny"/>
    <w:uiPriority w:val="9"/>
    <w:semiHidden/>
    <w:unhideWhenUsed/>
    <w:qFormat/>
    <w:rsid w:val="007E0A40"/>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7E0A40"/>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7E0A40"/>
    <w:pPr>
      <w:keepNext/>
      <w:keepLines/>
      <w:spacing w:before="240" w:after="40"/>
      <w:outlineLvl w:val="3"/>
    </w:pPr>
    <w:rPr>
      <w:b/>
      <w:sz w:val="24"/>
      <w:szCs w:val="24"/>
    </w:rPr>
  </w:style>
  <w:style w:type="paragraph" w:styleId="Nagwek5">
    <w:name w:val="heading 5"/>
    <w:basedOn w:val="Normalny"/>
    <w:next w:val="Normalny"/>
    <w:uiPriority w:val="9"/>
    <w:semiHidden/>
    <w:unhideWhenUsed/>
    <w:qFormat/>
    <w:rsid w:val="007E0A40"/>
    <w:pPr>
      <w:keepNext/>
      <w:keepLines/>
      <w:spacing w:before="220" w:after="40"/>
      <w:outlineLvl w:val="4"/>
    </w:pPr>
    <w:rPr>
      <w:b/>
    </w:rPr>
  </w:style>
  <w:style w:type="paragraph" w:styleId="Nagwek6">
    <w:name w:val="heading 6"/>
    <w:basedOn w:val="Normalny"/>
    <w:next w:val="Normalny"/>
    <w:uiPriority w:val="9"/>
    <w:semiHidden/>
    <w:unhideWhenUsed/>
    <w:qFormat/>
    <w:rsid w:val="007E0A40"/>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7E0A40"/>
    <w:tblPr>
      <w:tblCellMar>
        <w:top w:w="0" w:type="dxa"/>
        <w:left w:w="0" w:type="dxa"/>
        <w:bottom w:w="0" w:type="dxa"/>
        <w:right w:w="0" w:type="dxa"/>
      </w:tblCellMar>
    </w:tblPr>
  </w:style>
  <w:style w:type="paragraph" w:styleId="Tytu">
    <w:name w:val="Title"/>
    <w:basedOn w:val="Normalny"/>
    <w:next w:val="Normalny"/>
    <w:uiPriority w:val="10"/>
    <w:qFormat/>
    <w:rsid w:val="007E0A40"/>
    <w:pPr>
      <w:keepNext/>
      <w:keepLines/>
      <w:spacing w:before="480" w:after="120"/>
    </w:pPr>
    <w:rPr>
      <w:b/>
      <w:sz w:val="72"/>
      <w:szCs w:val="72"/>
    </w:rPr>
  </w:style>
  <w:style w:type="paragraph" w:styleId="Podtytu">
    <w:name w:val="Subtitle"/>
    <w:basedOn w:val="Normalny"/>
    <w:next w:val="Normalny"/>
    <w:uiPriority w:val="11"/>
    <w:qFormat/>
    <w:rsid w:val="007E0A40"/>
    <w:pPr>
      <w:keepNext/>
      <w:keepLines/>
      <w:spacing w:before="360" w:after="80"/>
    </w:pPr>
    <w:rPr>
      <w:rFonts w:ascii="Georgia" w:eastAsia="Georgia" w:hAnsi="Georgia" w:cs="Georgia"/>
      <w:i/>
      <w:color w:val="666666"/>
      <w:sz w:val="48"/>
      <w:szCs w:val="48"/>
    </w:rPr>
  </w:style>
  <w:style w:type="table" w:customStyle="1" w:styleId="a">
    <w:basedOn w:val="TableNormal"/>
    <w:rsid w:val="007E0A40"/>
    <w:tblPr>
      <w:tblStyleRowBandSize w:val="1"/>
      <w:tblStyleColBandSize w:val="1"/>
      <w:tblCellMar>
        <w:left w:w="115" w:type="dxa"/>
        <w:right w:w="115" w:type="dxa"/>
      </w:tblCellMar>
    </w:tblPr>
  </w:style>
  <w:style w:type="table" w:customStyle="1" w:styleId="a0">
    <w:basedOn w:val="TableNormal"/>
    <w:rsid w:val="007E0A40"/>
    <w:tblPr>
      <w:tblStyleRowBandSize w:val="1"/>
      <w:tblStyleColBandSize w:val="1"/>
      <w:tblCellMar>
        <w:left w:w="115" w:type="dxa"/>
        <w:right w:w="115" w:type="dxa"/>
      </w:tblCellMar>
    </w:tblPr>
  </w:style>
  <w:style w:type="table" w:customStyle="1" w:styleId="a1">
    <w:basedOn w:val="TableNormal"/>
    <w:rsid w:val="007E0A40"/>
    <w:tblPr>
      <w:tblStyleRowBandSize w:val="1"/>
      <w:tblStyleColBandSize w:val="1"/>
      <w:tblCellMar>
        <w:left w:w="115" w:type="dxa"/>
        <w:right w:w="115" w:type="dxa"/>
      </w:tblCellMar>
    </w:tblPr>
  </w:style>
  <w:style w:type="table" w:customStyle="1" w:styleId="a2">
    <w:basedOn w:val="TableNormal"/>
    <w:rsid w:val="007E0A40"/>
    <w:tblPr>
      <w:tblStyleRowBandSize w:val="1"/>
      <w:tblStyleColBandSize w:val="1"/>
      <w:tblCellMar>
        <w:left w:w="115" w:type="dxa"/>
        <w:right w:w="115" w:type="dxa"/>
      </w:tblCellMar>
    </w:tblPr>
  </w:style>
  <w:style w:type="table" w:customStyle="1" w:styleId="a3">
    <w:basedOn w:val="TableNormal"/>
    <w:rsid w:val="007E0A4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kapitzlist">
    <w:name w:val="List Paragraph"/>
    <w:basedOn w:val="Normalny"/>
    <w:uiPriority w:val="34"/>
    <w:qFormat/>
    <w:rsid w:val="004E7C8C"/>
    <w:pPr>
      <w:ind w:left="720"/>
      <w:contextualSpacing/>
    </w:pPr>
  </w:style>
  <w:style w:type="paragraph" w:styleId="Bezodstpw">
    <w:name w:val="No Spacing"/>
    <w:uiPriority w:val="1"/>
    <w:qFormat/>
    <w:rsid w:val="00E07E3E"/>
    <w:pPr>
      <w:spacing w:after="0" w:line="240" w:lineRule="auto"/>
    </w:pPr>
  </w:style>
  <w:style w:type="character" w:styleId="Hipercze">
    <w:name w:val="Hyperlink"/>
    <w:basedOn w:val="Domylnaczcionkaakapitu"/>
    <w:uiPriority w:val="99"/>
    <w:unhideWhenUsed/>
    <w:rsid w:val="00DF0DAF"/>
    <w:rPr>
      <w:color w:val="0000FF" w:themeColor="hyperlink"/>
      <w:u w:val="single"/>
    </w:rPr>
  </w:style>
  <w:style w:type="character" w:customStyle="1" w:styleId="Nierozpoznanawzmianka1">
    <w:name w:val="Nierozpoznana wzmianka1"/>
    <w:basedOn w:val="Domylnaczcionkaakapitu"/>
    <w:uiPriority w:val="99"/>
    <w:semiHidden/>
    <w:unhideWhenUsed/>
    <w:rsid w:val="00DF0DAF"/>
    <w:rPr>
      <w:color w:val="605E5C"/>
      <w:shd w:val="clear" w:color="auto" w:fill="E1DFDD"/>
    </w:rPr>
  </w:style>
  <w:style w:type="paragraph" w:styleId="Nagwek">
    <w:name w:val="header"/>
    <w:basedOn w:val="Normalny"/>
    <w:link w:val="NagwekZnak"/>
    <w:uiPriority w:val="99"/>
    <w:semiHidden/>
    <w:unhideWhenUsed/>
    <w:rsid w:val="00F3569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3569D"/>
  </w:style>
  <w:style w:type="paragraph" w:styleId="Stopka">
    <w:name w:val="footer"/>
    <w:basedOn w:val="Normalny"/>
    <w:link w:val="StopkaZnak"/>
    <w:uiPriority w:val="99"/>
    <w:semiHidden/>
    <w:unhideWhenUsed/>
    <w:rsid w:val="00F3569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3569D"/>
  </w:style>
  <w:style w:type="paragraph" w:customStyle="1" w:styleId="gwp240f2c12msonormal">
    <w:name w:val="gwp240f2c12_msonormal"/>
    <w:basedOn w:val="Normalny"/>
    <w:rsid w:val="007C75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ze">
    <w:name w:val="size"/>
    <w:basedOn w:val="Domylnaczcionkaakapitu"/>
    <w:rsid w:val="007C7534"/>
  </w:style>
  <w:style w:type="character" w:customStyle="1" w:styleId="color">
    <w:name w:val="color"/>
    <w:basedOn w:val="Domylnaczcionkaakapitu"/>
    <w:rsid w:val="000A1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930858">
      <w:bodyDiv w:val="1"/>
      <w:marLeft w:val="0"/>
      <w:marRight w:val="0"/>
      <w:marTop w:val="0"/>
      <w:marBottom w:val="0"/>
      <w:divBdr>
        <w:top w:val="none" w:sz="0" w:space="0" w:color="auto"/>
        <w:left w:val="none" w:sz="0" w:space="0" w:color="auto"/>
        <w:bottom w:val="none" w:sz="0" w:space="0" w:color="auto"/>
        <w:right w:val="none" w:sz="0" w:space="0" w:color="auto"/>
      </w:divBdr>
      <w:divsChild>
        <w:div w:id="198783270">
          <w:marLeft w:val="0"/>
          <w:marRight w:val="0"/>
          <w:marTop w:val="0"/>
          <w:marBottom w:val="0"/>
          <w:divBdr>
            <w:top w:val="none" w:sz="0" w:space="0" w:color="auto"/>
            <w:left w:val="none" w:sz="0" w:space="0" w:color="auto"/>
            <w:bottom w:val="none" w:sz="0" w:space="0" w:color="auto"/>
            <w:right w:val="none" w:sz="0" w:space="0" w:color="auto"/>
          </w:divBdr>
        </w:div>
      </w:divsChild>
    </w:div>
    <w:div w:id="664433828">
      <w:bodyDiv w:val="1"/>
      <w:marLeft w:val="0"/>
      <w:marRight w:val="0"/>
      <w:marTop w:val="0"/>
      <w:marBottom w:val="0"/>
      <w:divBdr>
        <w:top w:val="none" w:sz="0" w:space="0" w:color="auto"/>
        <w:left w:val="none" w:sz="0" w:space="0" w:color="auto"/>
        <w:bottom w:val="none" w:sz="0" w:space="0" w:color="auto"/>
        <w:right w:val="none" w:sz="0" w:space="0" w:color="auto"/>
      </w:divBdr>
    </w:div>
    <w:div w:id="1048993215">
      <w:bodyDiv w:val="1"/>
      <w:marLeft w:val="0"/>
      <w:marRight w:val="0"/>
      <w:marTop w:val="0"/>
      <w:marBottom w:val="0"/>
      <w:divBdr>
        <w:top w:val="none" w:sz="0" w:space="0" w:color="auto"/>
        <w:left w:val="none" w:sz="0" w:space="0" w:color="auto"/>
        <w:bottom w:val="none" w:sz="0" w:space="0" w:color="auto"/>
        <w:right w:val="none" w:sz="0" w:space="0" w:color="auto"/>
      </w:divBdr>
      <w:divsChild>
        <w:div w:id="897663772">
          <w:marLeft w:val="0"/>
          <w:marRight w:val="0"/>
          <w:marTop w:val="0"/>
          <w:marBottom w:val="0"/>
          <w:divBdr>
            <w:top w:val="none" w:sz="0" w:space="0" w:color="auto"/>
            <w:left w:val="none" w:sz="0" w:space="0" w:color="auto"/>
            <w:bottom w:val="none" w:sz="0" w:space="0" w:color="auto"/>
            <w:right w:val="none" w:sz="0" w:space="0" w:color="auto"/>
          </w:divBdr>
        </w:div>
        <w:div w:id="688529335">
          <w:marLeft w:val="0"/>
          <w:marRight w:val="0"/>
          <w:marTop w:val="0"/>
          <w:marBottom w:val="0"/>
          <w:divBdr>
            <w:top w:val="none" w:sz="0" w:space="0" w:color="auto"/>
            <w:left w:val="none" w:sz="0" w:space="0" w:color="auto"/>
            <w:bottom w:val="none" w:sz="0" w:space="0" w:color="auto"/>
            <w:right w:val="none" w:sz="0" w:space="0" w:color="auto"/>
          </w:divBdr>
        </w:div>
        <w:div w:id="780339496">
          <w:marLeft w:val="0"/>
          <w:marRight w:val="0"/>
          <w:marTop w:val="0"/>
          <w:marBottom w:val="0"/>
          <w:divBdr>
            <w:top w:val="none" w:sz="0" w:space="0" w:color="auto"/>
            <w:left w:val="none" w:sz="0" w:space="0" w:color="auto"/>
            <w:bottom w:val="none" w:sz="0" w:space="0" w:color="auto"/>
            <w:right w:val="none" w:sz="0" w:space="0" w:color="auto"/>
          </w:divBdr>
        </w:div>
      </w:divsChild>
    </w:div>
    <w:div w:id="1487163632">
      <w:bodyDiv w:val="1"/>
      <w:marLeft w:val="0"/>
      <w:marRight w:val="0"/>
      <w:marTop w:val="0"/>
      <w:marBottom w:val="0"/>
      <w:divBdr>
        <w:top w:val="none" w:sz="0" w:space="0" w:color="auto"/>
        <w:left w:val="none" w:sz="0" w:space="0" w:color="auto"/>
        <w:bottom w:val="none" w:sz="0" w:space="0" w:color="auto"/>
        <w:right w:val="none" w:sz="0" w:space="0" w:color="auto"/>
      </w:divBdr>
    </w:div>
    <w:div w:id="1772973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omykobylk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mykobylka.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C2F57-2B1B-44D2-A818-DA413C240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6993</Words>
  <Characters>41962</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Marcin Zbrzeźniak</cp:lastModifiedBy>
  <cp:revision>2</cp:revision>
  <dcterms:created xsi:type="dcterms:W3CDTF">2024-12-12T10:36:00Z</dcterms:created>
  <dcterms:modified xsi:type="dcterms:W3CDTF">2024-12-12T10:36:00Z</dcterms:modified>
</cp:coreProperties>
</file>